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B" w:rsidRDefault="0058615B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bookmarkStart w:id="0" w:name="bookmark20"/>
      <w:r w:rsidRPr="009F1906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5680" behindDoc="0" locked="0" layoutInCell="1" allowOverlap="1" wp14:anchorId="0E2761E4" wp14:editId="17E32D5D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EB" w:rsidRPr="009F1906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9F1906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9F1906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9F1906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9F1906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9F1906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p w:rsidR="0030798E" w:rsidRDefault="0030798E" w:rsidP="0030798E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r w:rsidRPr="009F1906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E8797C5" wp14:editId="72D62C64">
            <wp:simplePos x="0" y="0"/>
            <wp:positionH relativeFrom="column">
              <wp:posOffset>1301750</wp:posOffset>
            </wp:positionH>
            <wp:positionV relativeFrom="paragraph">
              <wp:posOffset>298450</wp:posOffset>
            </wp:positionV>
            <wp:extent cx="269328" cy="260350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28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2A5F5A91" wp14:editId="27223A4E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67237CB4" wp14:editId="5773F256">
            <wp:extent cx="487680" cy="335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</w:t>
      </w:r>
      <w:bookmarkStart w:id="1" w:name="_GoBack"/>
      <w:bookmarkEnd w:id="1"/>
      <w:r>
        <w:rPr>
          <w:rFonts w:ascii="Times New Roman" w:hAnsi="Times New Roman" w:cs="Times New Roman"/>
          <w:i/>
          <w:noProof/>
          <w:sz w:val="16"/>
          <w:szCs w:val="16"/>
        </w:rPr>
        <w:t xml:space="preserve">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4A59CB" w:rsidRPr="009F1906" w:rsidRDefault="0030798E" w:rsidP="0030798E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4926"/>
      </w:tblGrid>
      <w:tr w:rsidR="0052678B" w:rsidRPr="00DD48B3" w:rsidTr="00DD48B3">
        <w:trPr>
          <w:trHeight w:val="812"/>
        </w:trPr>
        <w:tc>
          <w:tcPr>
            <w:tcW w:w="4926" w:type="dxa"/>
          </w:tcPr>
          <w:p w:rsidR="00396DC4" w:rsidRPr="00DD48B3" w:rsidRDefault="00725AB2" w:rsidP="00225BDD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DD48B3"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 xml:space="preserve">Тригліцериди </w:t>
            </w:r>
            <w:proofErr w:type="spellStart"/>
            <w:r w:rsidR="002F7E64" w:rsidRPr="00DD48B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DD48B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DD48B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DD48B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DD48B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DD48B3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DD48B3" w:rsidRDefault="0058615B" w:rsidP="004A59CB">
            <w:pPr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</w:p>
          <w:p w:rsidR="0058615B" w:rsidRPr="00DD48B3" w:rsidRDefault="0032073A" w:rsidP="00725AB2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18"/>
                <w:szCs w:val="18"/>
                <w:lang w:val="uk-UA" w:bidi="ar-S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6005D"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725AB2"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GPO-POD. Рідина.</w:t>
            </w:r>
            <w:r w:rsidR="004A59CB" w:rsidRPr="00DD48B3">
              <w:rPr>
                <w:rFonts w:ascii="Times New Roman" w:hAnsi="Times New Roman" w:cs="Times New Roman"/>
                <w:noProof/>
                <w:sz w:val="18"/>
                <w:szCs w:val="18"/>
                <w:lang w:val="uk-UA" w:eastAsia="uk-UA"/>
              </w:rPr>
              <w:t xml:space="preserve"> </w:t>
            </w:r>
          </w:p>
        </w:tc>
      </w:tr>
    </w:tbl>
    <w:p w:rsidR="0032073A" w:rsidRPr="00DD48B3" w:rsidRDefault="0032073A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2" w:name="bookmark18"/>
    </w:p>
    <w:bookmarkEnd w:id="2"/>
    <w:p w:rsidR="00725AB2" w:rsidRPr="00DD48B3" w:rsidRDefault="00725AB2" w:rsidP="00725AB2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proofErr w:type="spellStart"/>
      <w:r w:rsidRPr="00DD48B3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тригліцеридів</w:t>
      </w:r>
      <w:proofErr w:type="spellEnd"/>
    </w:p>
    <w:p w:rsidR="00E858CB" w:rsidRPr="00DD48B3" w:rsidRDefault="0058615B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DD48B3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DD48B3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DD48B3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DD48B3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DD48B3" w:rsidRDefault="00777880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DD48B3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F47A43" w:rsidRPr="00DD48B3" w:rsidRDefault="00F47A43" w:rsidP="00E858C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DD48B3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DD48B3" w:rsidRDefault="00396DC4" w:rsidP="00F010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725AB2" w:rsidRPr="00DD48B3" w:rsidRDefault="009E5260" w:rsidP="00725AB2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Проба тригліцеридів, інкубована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 ліпопротеїнліпазою (LPL), вивільняє гліцерин і вільні жирні кислоти. Гліцерин перетворюється на гліцерол-3-фосфат (G3P) і аденозин-5-дифосфат (ADP) за допомогою гліцеролкінази (GK) і ADP. Потім гліцерол-3-фосфат (G3P) перетворюється гліцеролфосфатоксидазою (GPO) на дигідроксиацетонфосфат (DAP) і перекис водню (H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).</w:t>
      </w:r>
    </w:p>
    <w:p w:rsidR="00725AB2" w:rsidRPr="00DD48B3" w:rsidRDefault="00725AB2" w:rsidP="009F190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 останній реакції перекис водню (H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 реаг</w:t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ує з 4-амінофеназоном (4-AP) і ρ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-хлорфенолом у присутності пероксидази (POD) з утворенням червоного барвника:</w:t>
      </w:r>
    </w:p>
    <w:p w:rsidR="00725AB2" w:rsidRPr="00DD48B3" w:rsidRDefault="00725AB2" w:rsidP="00725AB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725AB2" w:rsidRPr="00DD48B3" w:rsidRDefault="00725AB2" w:rsidP="00725AB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               </w:t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LPL</w:t>
      </w:r>
    </w:p>
    <w:p w:rsidR="00725AB2" w:rsidRPr="00DD48B3" w:rsidRDefault="009F1906" w:rsidP="009F1906">
      <w:pPr>
        <w:pStyle w:val="20"/>
        <w:shd w:val="clear" w:color="auto" w:fill="auto"/>
        <w:tabs>
          <w:tab w:val="left" w:leader="hyphen" w:pos="2655"/>
        </w:tabs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Тригліцериди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H</w:t>
      </w:r>
      <w:r w:rsidR="00725AB2" w:rsidRPr="00DD48B3">
        <w:rPr>
          <w:rStyle w:val="24pt"/>
          <w:rFonts w:ascii="Times New Roman" w:hAnsi="Times New Roman" w:cs="Times New Roman"/>
          <w:sz w:val="18"/>
          <w:szCs w:val="18"/>
          <w:vertAlign w:val="subscript"/>
          <w:lang w:val="uk-UA"/>
        </w:rPr>
        <w:t>2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O </w:t>
      </w:r>
      <w:r w:rsidR="00725AB2" w:rsidRPr="00DD48B3">
        <w:rPr>
          <w:rStyle w:val="24pt"/>
          <w:rFonts w:ascii="Times New Roman" w:hAnsi="Times New Roman" w:cs="Times New Roman"/>
          <w:sz w:val="18"/>
          <w:szCs w:val="18"/>
          <w:lang w:val="uk-UA"/>
        </w:rPr>
        <w:tab/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»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Гліцерол + вільні жирні кислоти</w:t>
      </w:r>
    </w:p>
    <w:p w:rsidR="00F933AB" w:rsidRPr="00DD48B3" w:rsidRDefault="00725AB2" w:rsidP="00725AB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ab/>
      </w:r>
      <w:r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ab/>
      </w:r>
      <w:r w:rsidR="009E5260"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    </w:t>
      </w:r>
      <w:r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Гліцеролкіназа</w:t>
      </w:r>
    </w:p>
    <w:p w:rsidR="00725AB2" w:rsidRPr="00DD48B3" w:rsidRDefault="009F1906" w:rsidP="009F1906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Гліцерол 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+ ATP</w:t>
      </w:r>
      <w:r w:rsidR="00725AB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>&gt; G3P + ADP</w:t>
      </w:r>
    </w:p>
    <w:p w:rsidR="00725AB2" w:rsidRPr="00DD48B3" w:rsidRDefault="00725AB2" w:rsidP="00725AB2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725AB2" w:rsidRPr="00DD48B3" w:rsidRDefault="00725AB2" w:rsidP="00725AB2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      </w:t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    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POD</w:t>
      </w:r>
    </w:p>
    <w:p w:rsidR="00725AB2" w:rsidRPr="00DD48B3" w:rsidRDefault="00725AB2" w:rsidP="00725AB2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G3P + O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-------------------→ DAP+ H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  <w:t>2</w:t>
      </w:r>
    </w:p>
    <w:p w:rsidR="00725AB2" w:rsidRPr="00DD48B3" w:rsidRDefault="00725AB2" w:rsidP="00725AB2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18"/>
          <w:szCs w:val="18"/>
          <w:vertAlign w:val="subscript"/>
          <w:lang w:val="uk-UA" w:bidi="en-US"/>
        </w:rPr>
      </w:pPr>
    </w:p>
    <w:p w:rsidR="00725AB2" w:rsidRPr="00DD48B3" w:rsidRDefault="00725AB2" w:rsidP="00725AB2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Інтенсивність утвореного кольору пропорційна концентрації </w:t>
      </w:r>
      <w:proofErr w:type="spellStart"/>
      <w:r w:rsidRPr="00DD48B3">
        <w:rPr>
          <w:rFonts w:ascii="Times New Roman" w:hAnsi="Times New Roman" w:cs="Times New Roman"/>
          <w:sz w:val="18"/>
          <w:szCs w:val="18"/>
          <w:lang w:val="uk-UA"/>
        </w:rPr>
        <w:t>тригліцеридів</w:t>
      </w:r>
      <w:proofErr w:type="spellEnd"/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у зразку </w:t>
      </w:r>
      <w:r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1-2-3.</w:t>
      </w:r>
    </w:p>
    <w:p w:rsidR="004A59CB" w:rsidRPr="00DD48B3" w:rsidRDefault="004A59CB" w:rsidP="00725AB2">
      <w:pPr>
        <w:pStyle w:val="20"/>
        <w:shd w:val="clear" w:color="auto" w:fill="auto"/>
        <w:tabs>
          <w:tab w:val="left" w:leader="hyphen" w:pos="2444"/>
          <w:tab w:val="left" w:leader="hyphen" w:pos="2565"/>
          <w:tab w:val="left" w:leader="hyphen" w:pos="340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25AB2" w:rsidRPr="00DD48B3" w:rsidRDefault="00725AB2" w:rsidP="0075408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E275D1" w:rsidRPr="00DD48B3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32073A" w:rsidRPr="00DD48B3" w:rsidRDefault="00437823" w:rsidP="000E4348">
      <w:pPr>
        <w:pStyle w:val="2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</w:p>
    <w:p w:rsidR="00725AB2" w:rsidRPr="00DD48B3" w:rsidRDefault="00725AB2" w:rsidP="00725AB2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Тригліцериди – це жири, які забезпечують клітини енергією.</w:t>
      </w:r>
    </w:p>
    <w:p w:rsidR="00725AB2" w:rsidRPr="00DD48B3" w:rsidRDefault="00725AB2" w:rsidP="00725AB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Як і холестерин, вони доставляються до клітин організму за допомогою ліпопротеїнів крові. Дієта з великою кількістю насичених жирів або вуглеводів підвищить рівень тригліцеридів. Підвищення рівня тригліцеридів у сироватці крові є відносно неспецифічним. Наприклад, порушення функції печінки внаслідок гепатиту, позапечінкової біліарної обструкції або цирозу, цукрового діабету асоціюється з підвищенням 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3,6,7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725AB2" w:rsidRPr="00DD48B3" w:rsidRDefault="00F01024" w:rsidP="00C8125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Клінічний діагноз не слід встановлювати на основі одного результату дослідження; він повинен інтегрувати кл</w:t>
      </w:r>
      <w:r w:rsidR="005119A5" w:rsidRPr="00DD48B3">
        <w:rPr>
          <w:rFonts w:ascii="Times New Roman" w:hAnsi="Times New Roman" w:cs="Times New Roman"/>
          <w:sz w:val="18"/>
          <w:szCs w:val="18"/>
          <w:lang w:val="uk-UA"/>
        </w:rPr>
        <w:t>інічні та інші лабораторні дані.</w:t>
      </w:r>
    </w:p>
    <w:p w:rsidR="00DB72EB" w:rsidRPr="00DD48B3" w:rsidRDefault="00E275D1" w:rsidP="0030798E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DD48B3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DD48B3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</w:tblGrid>
      <w:tr w:rsidR="004A59CB" w:rsidRPr="00DD48B3" w:rsidTr="004A59CB">
        <w:trPr>
          <w:trHeight w:val="407"/>
        </w:trPr>
        <w:tc>
          <w:tcPr>
            <w:tcW w:w="851" w:type="dxa"/>
            <w:vAlign w:val="center"/>
          </w:tcPr>
          <w:p w:rsidR="004A59CB" w:rsidRPr="00DD48B3" w:rsidRDefault="004A59CB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</w:t>
            </w:r>
            <w:r w:rsidRPr="00DD48B3">
              <w:rPr>
                <w:rStyle w:val="24pt"/>
                <w:rFonts w:ascii="Times New Roman" w:hAnsi="Times New Roman" w:cs="Times New Roman"/>
                <w:sz w:val="18"/>
                <w:szCs w:val="18"/>
                <w:vertAlign w:val="subscript"/>
                <w:lang w:val="uk-UA"/>
              </w:rPr>
              <w:t>(прим. 2)</w:t>
            </w:r>
          </w:p>
        </w:tc>
        <w:tc>
          <w:tcPr>
            <w:tcW w:w="4111" w:type="dxa"/>
            <w:vAlign w:val="center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GOOD </w:t>
            </w: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pH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6,3                          50 ммоль/л 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p-Хлорфенол                        2 ммоль/л 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Ліпопротеїнліпаза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(LPL)          150000 Од/л 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Гліцеролкіназа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(GK)                 500 Од/л 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Гліцерол-3-оксидаза (GPO)      3500 Од/л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 </w:t>
            </w: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Пероксидаза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(POD)                     440 Од/л 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4 - </w:t>
            </w: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Амінофеназон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(4-AP)         0,1ммоль/л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ATP                                           0,1 ммоль/л</w:t>
            </w:r>
          </w:p>
        </w:tc>
      </w:tr>
      <w:tr w:rsidR="004A59CB" w:rsidRPr="00DD48B3" w:rsidTr="004A59CB">
        <w:trPr>
          <w:trHeight w:val="412"/>
        </w:trPr>
        <w:tc>
          <w:tcPr>
            <w:tcW w:w="851" w:type="dxa"/>
            <w:vAlign w:val="center"/>
          </w:tcPr>
          <w:p w:rsidR="004A59CB" w:rsidRPr="00DD48B3" w:rsidRDefault="004A59CB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DD48B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Тригліцериди</w:t>
            </w:r>
            <w:proofErr w:type="spellEnd"/>
            <w:r w:rsidRPr="00DD48B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CAL</w:t>
            </w:r>
          </w:p>
        </w:tc>
        <w:tc>
          <w:tcPr>
            <w:tcW w:w="4111" w:type="dxa"/>
            <w:vAlign w:val="center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Первинний водний стандарт 200 мг/</w:t>
            </w: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</w:tc>
      </w:tr>
    </w:tbl>
    <w:p w:rsidR="00225BDD" w:rsidRPr="00DD48B3" w:rsidRDefault="00225BDD" w:rsidP="0070559E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56416C" w:rsidRPr="00DD48B3" w:rsidRDefault="00E275D1" w:rsidP="004A5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  <w:bookmarkStart w:id="3" w:name="bookmark26"/>
    </w:p>
    <w:bookmarkEnd w:id="0"/>
    <w:bookmarkEnd w:id="3"/>
    <w:p w:rsidR="001534D0" w:rsidRPr="00DD48B3" w:rsidRDefault="00725AB2" w:rsidP="00F01024">
      <w:pPr>
        <w:pStyle w:val="20"/>
        <w:shd w:val="clear" w:color="auto" w:fill="auto"/>
        <w:tabs>
          <w:tab w:val="left" w:pos="14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</w:t>
      </w:r>
      <w:r w:rsidR="00AF4C3E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еагенти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та стандарт</w:t>
      </w:r>
      <w:r w:rsidR="00F01024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A03FA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готові до використання. </w:t>
      </w:r>
    </w:p>
    <w:p w:rsidR="0074791D" w:rsidRPr="00DD48B3" w:rsidRDefault="0074791D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DD48B3" w:rsidRDefault="0074791D" w:rsidP="004A5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74791D" w:rsidRPr="00DD48B3" w:rsidRDefault="0074791D" w:rsidP="0074791D">
      <w:pPr>
        <w:pStyle w:val="20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74791D" w:rsidRPr="00DD48B3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реагенти після закінчення терміну придатності.</w:t>
      </w:r>
    </w:p>
    <w:p w:rsidR="0074791D" w:rsidRPr="00DD48B3" w:rsidRDefault="0074791D" w:rsidP="0074791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b/>
          <w:sz w:val="18"/>
          <w:szCs w:val="18"/>
          <w:lang w:val="uk-UA"/>
        </w:rPr>
        <w:t>Ознаки псування реагенту</w:t>
      </w:r>
      <w:r w:rsidRPr="00DD48B3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:rsidR="000F4E3D" w:rsidRPr="00DD48B3" w:rsidRDefault="00AF4C3E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</w:t>
      </w:r>
      <w:r w:rsidR="00F01024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та</w:t>
      </w:r>
      <w:r w:rsidR="0074791D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помутніння.</w:t>
      </w:r>
    </w:p>
    <w:p w:rsidR="00725AB2" w:rsidRPr="00DD48B3" w:rsidRDefault="00725AB2" w:rsidP="000F4E3D">
      <w:pPr>
        <w:pStyle w:val="20"/>
        <w:numPr>
          <w:ilvl w:val="0"/>
          <w:numId w:val="1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</w:t>
      </w:r>
      <w:r w:rsidR="009E5260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уста абсорбція при 505 нм ≥ 0,</w:t>
      </w:r>
      <w:r w:rsidR="009E5260" w:rsidRPr="00DD48B3">
        <w:rPr>
          <w:rFonts w:ascii="Times New Roman" w:hAnsi="Times New Roman" w:cs="Times New Roman"/>
          <w:color w:val="000000"/>
          <w:sz w:val="18"/>
          <w:szCs w:val="18"/>
          <w:lang w:val="en-US" w:bidi="en-US"/>
        </w:rPr>
        <w:t>26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225BDD" w:rsidRPr="00DD48B3" w:rsidRDefault="00225BDD" w:rsidP="004A59CB">
      <w:pPr>
        <w:pStyle w:val="20"/>
        <w:shd w:val="clear" w:color="auto" w:fill="auto"/>
        <w:tabs>
          <w:tab w:val="left" w:pos="115"/>
        </w:tabs>
        <w:spacing w:after="0" w:line="240" w:lineRule="auto"/>
        <w:ind w:hanging="142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DD48B3" w:rsidRDefault="000F4E3D" w:rsidP="004A59CB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ДОДАТКОВЕ ОБЛАДНАННЯ</w:t>
      </w:r>
    </w:p>
    <w:p w:rsidR="000F4E3D" w:rsidRPr="00DD48B3" w:rsidRDefault="00725AB2" w:rsidP="000F4E3D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Спектрофотометр або колориметр, що вимірює при 505 нм.</w:t>
      </w:r>
    </w:p>
    <w:p w:rsidR="00225BDD" w:rsidRPr="00DD48B3" w:rsidRDefault="00225BD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725AB2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Відповідні кювети …………1см світлового шляху </w:t>
      </w:r>
    </w:p>
    <w:p w:rsidR="000F4E3D" w:rsidRPr="00DD48B3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EF0CB3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Загальне лабораторне обладнання</w:t>
      </w:r>
      <w:r w:rsidR="00AF4C3E" w:rsidRPr="00DD48B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0F4E3D" w:rsidRPr="00DD48B3" w:rsidRDefault="000F4E3D" w:rsidP="000F4E3D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DD48B3" w:rsidRDefault="000F4E3D" w:rsidP="004A59CB">
      <w:pPr>
        <w:pStyle w:val="a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hanging="578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725AB2" w:rsidRPr="00DD48B3" w:rsidRDefault="00725AB2" w:rsidP="00725AB2">
      <w:pPr>
        <w:pStyle w:val="20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Сироватка або плазма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225BDD" w:rsidRPr="00DD48B3" w:rsidRDefault="00725AB2" w:rsidP="00725AB2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Стабільність зразка: 5 днів при 2-8°C.</w:t>
      </w:r>
    </w:p>
    <w:p w:rsidR="00725AB2" w:rsidRPr="00DD48B3" w:rsidRDefault="00725AB2" w:rsidP="00725AB2">
      <w:pPr>
        <w:pStyle w:val="20"/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DD48B3" w:rsidRDefault="000F4E3D" w:rsidP="004A5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BA66EE" w:rsidRPr="00DD48B3" w:rsidRDefault="00BA66EE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аналізу:</w:t>
      </w:r>
    </w:p>
    <w:p w:rsidR="00BA66EE" w:rsidRPr="00DD48B3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Довжина хвилі: …………..505 нм (490-550).</w:t>
      </w:r>
    </w:p>
    <w:p w:rsidR="00BA66EE" w:rsidRPr="00DD48B3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Кювета:     …………1см світлового шляху</w:t>
      </w:r>
    </w:p>
    <w:p w:rsidR="00BA66EE" w:rsidRPr="00DD48B3" w:rsidRDefault="00BA66EE" w:rsidP="00BA66EE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Температура: ……… 37°C /15-25°C </w:t>
      </w:r>
    </w:p>
    <w:p w:rsidR="00BA66EE" w:rsidRPr="00DD48B3" w:rsidRDefault="00BA66EE" w:rsidP="00BA66EE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Налаштуйте прилад на нуль за допомогою дистильованої води.</w:t>
      </w:r>
    </w:p>
    <w:p w:rsidR="000F4E3D" w:rsidRPr="00DD48B3" w:rsidRDefault="00B20D82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Додайте піпеткою в </w:t>
      </w:r>
      <w:r w:rsidR="00BA66EE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кювету</w:t>
      </w:r>
      <w:r w:rsidR="00BA66EE" w:rsidRPr="00DD48B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(прим.4)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1534D0" w:rsidRPr="00DD48B3" w:rsidRDefault="001534D0" w:rsidP="001534D0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993"/>
        <w:gridCol w:w="993"/>
      </w:tblGrid>
      <w:tr w:rsidR="00BA66EE" w:rsidRPr="00DD48B3" w:rsidTr="00A62E34">
        <w:tc>
          <w:tcPr>
            <w:tcW w:w="1809" w:type="dxa"/>
          </w:tcPr>
          <w:p w:rsidR="00BA66EE" w:rsidRPr="00DD48B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BA66EE" w:rsidRPr="00DD48B3" w:rsidTr="00A62E34">
        <w:tc>
          <w:tcPr>
            <w:tcW w:w="1809" w:type="dxa"/>
          </w:tcPr>
          <w:p w:rsidR="00BA66EE" w:rsidRPr="00DD48B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 (мл)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BA66EE" w:rsidRPr="00DD48B3" w:rsidTr="00A62E34">
        <w:tc>
          <w:tcPr>
            <w:tcW w:w="1809" w:type="dxa"/>
          </w:tcPr>
          <w:p w:rsidR="00BA66EE" w:rsidRPr="00DD48B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  <w:r w:rsidRPr="00DD48B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1,3</w:t>
            </w: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BA66EE" w:rsidRPr="00DD48B3" w:rsidTr="00A62E34">
        <w:tc>
          <w:tcPr>
            <w:tcW w:w="1809" w:type="dxa"/>
          </w:tcPr>
          <w:p w:rsidR="00BA66EE" w:rsidRPr="00DD48B3" w:rsidRDefault="00BA66EE" w:rsidP="000F4E3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Проба </w:t>
            </w:r>
            <w:r w:rsidR="005119A5"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BA66EE" w:rsidRPr="00DD48B3" w:rsidRDefault="00BA66EE" w:rsidP="00B20D82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</w:tbl>
    <w:p w:rsidR="000F4E3D" w:rsidRPr="00DD48B3" w:rsidRDefault="000F4E3D" w:rsidP="000F4E3D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F4E3D" w:rsidRPr="00DD48B3" w:rsidRDefault="00BA66EE" w:rsidP="000F4E3D">
      <w:pPr>
        <w:pStyle w:val="20"/>
        <w:numPr>
          <w:ilvl w:val="0"/>
          <w:numId w:val="3"/>
        </w:numPr>
        <w:shd w:val="clear" w:color="auto" w:fill="auto"/>
        <w:tabs>
          <w:tab w:val="left" w:pos="34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З</w:t>
      </w:r>
      <w:r w:rsidR="000F4E3D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мішайте та </w:t>
      </w:r>
      <w:r w:rsidR="00F01024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інкубуйте протягом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5</w:t>
      </w:r>
      <w:r w:rsidR="00B20D8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F01024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хвилин при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</w:t>
      </w: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°C або 10 хвилин при </w:t>
      </w:r>
      <w:r w:rsidR="00B20D8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(15-25 </w:t>
      </w:r>
      <w:r w:rsidR="00B20D82" w:rsidRPr="00DD48B3">
        <w:rPr>
          <w:rFonts w:ascii="Times New Roman" w:hAnsi="Times New Roman" w:cs="Times New Roman"/>
          <w:sz w:val="18"/>
          <w:szCs w:val="18"/>
          <w:lang w:val="uk-UA"/>
        </w:rPr>
        <w:t>°C).</w:t>
      </w:r>
    </w:p>
    <w:p w:rsidR="00B20D82" w:rsidRPr="00DD48B3" w:rsidRDefault="00BA66EE" w:rsidP="00B20D8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Зчитайте абсорбцію (А) проби та стандарту, у порівнянні з пустою.</w:t>
      </w:r>
    </w:p>
    <w:p w:rsidR="00BA66EE" w:rsidRPr="00DD48B3" w:rsidRDefault="00BA66EE" w:rsidP="00B20D8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Колір є стабільним протягом принаймні 30 хвилин.</w:t>
      </w:r>
    </w:p>
    <w:p w:rsidR="00BA66EE" w:rsidRPr="00DD48B3" w:rsidRDefault="004A59CB" w:rsidP="00B20D82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DB72EB" w:rsidRPr="00DD48B3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BA66EE" w:rsidRPr="00DD48B3" w:rsidRDefault="00DD48B3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Cs w:val="0"/>
          <w:color w:val="000000"/>
          <w:sz w:val="18"/>
          <w:szCs w:val="18"/>
          <w:lang w:val="en-US" w:bidi="en-US"/>
        </w:rPr>
      </w:pPr>
      <m:oMathPara>
        <m:oMath>
          <m:f>
            <m:fPr>
              <m:ctrlPr>
                <w:rPr>
                  <w:rFonts w:ascii="Cambria Math" w:eastAsia="Tahoma" w:hAnsi="Cambria Math" w:cs="Times New Roman"/>
                  <w:iCs w:val="0"/>
                  <w:color w:val="000000"/>
                  <w:sz w:val="18"/>
                  <w:szCs w:val="18"/>
                  <w:lang w:val="uk-UA" w:bidi="en-US"/>
                </w:rPr>
              </m:ctrlPr>
            </m:fPr>
            <m:num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Проба-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num>
            <m:den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Стандарт-</m:t>
              </m:r>
              <m:d>
                <m:dPr>
                  <m:ctrlPr>
                    <w:rPr>
                      <w:rFonts w:ascii="Cambria Math" w:eastAsia="Tahoma" w:hAnsi="Cambria Math" w:cs="Times New Roman"/>
                      <w:iCs w:val="0"/>
                      <w:color w:val="000000"/>
                      <w:sz w:val="18"/>
                      <w:szCs w:val="18"/>
                      <w:lang w:val="uk-UA" w:bidi="en-US"/>
                    </w:rPr>
                  </m:ctrlPr>
                </m:dPr>
                <m:e>
                  <m:r>
                    <w:rPr>
                      <w:rFonts w:ascii="Cambria Math" w:eastAsia="Tahoma" w:hAnsi="Cambria Math" w:cs="Times New Roman"/>
                      <w:color w:val="000000"/>
                      <w:sz w:val="18"/>
                      <w:szCs w:val="18"/>
                      <w:lang w:val="uk-UA" w:bidi="en-US"/>
                    </w:rPr>
                    <m:t>А</m:t>
                  </m:r>
                </m:e>
              </m:d>
              <m:r>
                <w:rPr>
                  <w:rFonts w:ascii="Cambria Math" w:eastAsia="Tahoma" w:hAnsi="Cambria Math" w:cs="Times New Roman"/>
                  <w:color w:val="000000"/>
                  <w:sz w:val="18"/>
                  <w:szCs w:val="18"/>
                  <w:lang w:val="uk-UA" w:bidi="en-US"/>
                </w:rPr>
                <m:t>Пустий</m:t>
              </m:r>
            </m:den>
          </m:f>
          <m:r>
            <w:rPr>
              <w:rFonts w:ascii="Cambria Math" w:eastAsia="Tahoma" w:hAnsi="Cambria Math" w:cs="Times New Roman"/>
              <w:color w:val="000000"/>
              <w:sz w:val="18"/>
              <w:szCs w:val="18"/>
              <w:lang w:val="uk-UA" w:bidi="en-US"/>
            </w:rPr>
            <m:t>хСтанд.конц. ≈мг/дл тригліцеридів у пробі</m:t>
          </m:r>
        </m:oMath>
      </m:oMathPara>
    </w:p>
    <w:p w:rsidR="00BA66EE" w:rsidRPr="00DD48B3" w:rsidRDefault="00BA66EE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</w:p>
    <w:p w:rsidR="00BA66EE" w:rsidRPr="00DD48B3" w:rsidRDefault="00BA66EE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</w:pPr>
      <w:r w:rsidRPr="00DD48B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Коефіцієнт перерахунку: мг</w:t>
      </w:r>
      <w:r w:rsidR="009F1906" w:rsidRPr="00DD48B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bidi="en-US"/>
        </w:rPr>
        <w:t>/</w:t>
      </w:r>
      <w:proofErr w:type="spellStart"/>
      <w:r w:rsidRPr="00DD48B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дл</w:t>
      </w:r>
      <w:proofErr w:type="spellEnd"/>
      <w:r w:rsidRPr="00DD48B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 xml:space="preserve"> х 0,0113 =ммоль</w:t>
      </w:r>
      <w:r w:rsidR="009F1906" w:rsidRPr="00DD48B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bidi="en-US"/>
        </w:rPr>
        <w:t>/</w:t>
      </w:r>
      <w:r w:rsidRPr="00DD48B3">
        <w:rPr>
          <w:rFonts w:ascii="Times New Roman" w:eastAsia="Tahoma" w:hAnsi="Times New Roman" w:cs="Times New Roman"/>
          <w:i w:val="0"/>
          <w:iCs w:val="0"/>
          <w:color w:val="000000"/>
          <w:sz w:val="18"/>
          <w:szCs w:val="18"/>
          <w:lang w:val="uk-UA" w:bidi="en-US"/>
        </w:rPr>
        <w:t>л</w:t>
      </w:r>
    </w:p>
    <w:p w:rsidR="00C5500D" w:rsidRPr="00DD48B3" w:rsidRDefault="0078184C" w:rsidP="00B20D82">
      <w:pPr>
        <w:pStyle w:val="50"/>
        <w:shd w:val="clear" w:color="auto" w:fill="auto"/>
        <w:tabs>
          <w:tab w:val="left" w:pos="2222"/>
          <w:tab w:val="left" w:pos="3000"/>
          <w:tab w:val="left" w:pos="3984"/>
        </w:tabs>
        <w:spacing w:before="0"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ab/>
      </w:r>
    </w:p>
    <w:p w:rsidR="00933624" w:rsidRPr="00DD48B3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70559E" w:rsidRPr="00DD48B3" w:rsidRDefault="0070559E" w:rsidP="0070559E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4A59CB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Pr="00DD48B3">
        <w:rPr>
          <w:rFonts w:ascii="Times New Roman" w:hAnsi="Times New Roman" w:cs="Times New Roman"/>
          <w:sz w:val="18"/>
          <w:szCs w:val="18"/>
          <w:lang w:val="uk-UA"/>
        </w:rPr>
        <w:t>Рекомендуються контрольні сироватки для моніторингу виконання процедур аналізу: CONTROL нормальний та патологічний (MO-165107 і MO-165108).</w:t>
      </w:r>
    </w:p>
    <w:p w:rsidR="00B61347" w:rsidRPr="00DD48B3" w:rsidRDefault="0070559E" w:rsidP="0070559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5E0B2F" w:rsidRPr="00DD48B3" w:rsidRDefault="0050593A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Кожна лабораторія повинна встановити власну схему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lastRenderedPageBreak/>
        <w:t>контролю якості та коригувальні дії, якщо контроль не відповідає допустимим допускам.</w:t>
      </w:r>
    </w:p>
    <w:p w:rsidR="0050593A" w:rsidRPr="00DD48B3" w:rsidRDefault="0050593A" w:rsidP="0050593A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571605" w:rsidRPr="00DD48B3" w:rsidRDefault="004A59CB" w:rsidP="004A59CB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244061" w:themeColor="accent1" w:themeShade="80"/>
          <w:sz w:val="18"/>
          <w:szCs w:val="18"/>
          <w:vertAlign w:val="superscript"/>
          <w:lang w:val="uk-UA" w:bidi="en-US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50593A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5</w:t>
      </w:r>
    </w:p>
    <w:p w:rsidR="00BA66EE" w:rsidRPr="00DD48B3" w:rsidRDefault="00BA66EE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Чоловік</w:t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>40-160 мг</w:t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bidi="en-US"/>
        </w:rPr>
        <w:t>/</w:t>
      </w:r>
      <w:proofErr w:type="spellStart"/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</w:p>
    <w:p w:rsidR="00BA66EE" w:rsidRPr="00DD48B3" w:rsidRDefault="00BA66EE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Жінка </w:t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35-135 мг</w:t>
      </w:r>
      <w:r w:rsidR="009F1906" w:rsidRPr="00DD48B3">
        <w:rPr>
          <w:rFonts w:ascii="Times New Roman" w:hAnsi="Times New Roman" w:cs="Times New Roman"/>
          <w:color w:val="000000"/>
          <w:sz w:val="18"/>
          <w:szCs w:val="18"/>
          <w:lang w:bidi="en-US"/>
        </w:rPr>
        <w:t>/</w:t>
      </w:r>
      <w:proofErr w:type="spellStart"/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</w:p>
    <w:p w:rsidR="00BA66EE" w:rsidRPr="00DD48B3" w:rsidRDefault="00BA66EE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80413" w:rsidRPr="00DD48B3" w:rsidRDefault="001E67EA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Наведені вище</w:t>
      </w:r>
      <w:r w:rsidR="00B80413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значе</w:t>
      </w:r>
      <w:r w:rsidR="0012517C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ння призначені для орієнтації; к</w:t>
      </w:r>
      <w:r w:rsidR="00B80413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DD48B3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DD48B3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DD48B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DD48B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DD48B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DD48B3" w:rsidRDefault="00B063B5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DD48B3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0,000</w:t>
      </w:r>
      <w:r w:rsidR="002338D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F0B8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70559E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</w:t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</w:t>
      </w:r>
      <w:r w:rsidR="000E076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00</w:t>
      </w:r>
      <w:r w:rsidR="00DF0B82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0E076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</w:t>
      </w:r>
      <w:r w:rsidR="002338D6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70559E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2338D6" w:rsidRPr="00DD48B3" w:rsidRDefault="008850E4" w:rsidP="002338D6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Якщо отримані результати перевищують межу лінійності, розбавте зразок на 1/2 NaCl 9 г/л і помножте результат на 2.</w:t>
      </w:r>
    </w:p>
    <w:p w:rsidR="007C675A" w:rsidRPr="00DD48B3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4957" w:type="dxa"/>
        <w:tblLayout w:type="fixed"/>
        <w:tblLook w:val="04A0" w:firstRow="1" w:lastRow="0" w:firstColumn="1" w:lastColumn="0" w:noHBand="0" w:noVBand="1"/>
      </w:tblPr>
      <w:tblGrid>
        <w:gridCol w:w="1668"/>
        <w:gridCol w:w="737"/>
        <w:gridCol w:w="851"/>
        <w:gridCol w:w="850"/>
        <w:gridCol w:w="851"/>
      </w:tblGrid>
      <w:tr w:rsidR="004A59CB" w:rsidRPr="00DD48B3" w:rsidTr="00A80F8F">
        <w:trPr>
          <w:trHeight w:val="776"/>
        </w:trPr>
        <w:tc>
          <w:tcPr>
            <w:tcW w:w="1668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588" w:type="dxa"/>
            <w:gridSpan w:val="2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n=20)</w:t>
            </w:r>
          </w:p>
        </w:tc>
        <w:tc>
          <w:tcPr>
            <w:tcW w:w="1701" w:type="dxa"/>
            <w:gridSpan w:val="2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Процедурами</w:t>
            </w:r>
          </w:p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 n=20)</w:t>
            </w:r>
          </w:p>
        </w:tc>
      </w:tr>
      <w:tr w:rsidR="004A59CB" w:rsidRPr="00DD48B3" w:rsidTr="00A80F8F">
        <w:tc>
          <w:tcPr>
            <w:tcW w:w="1668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(мг/</w:t>
            </w: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737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</w:t>
            </w:r>
          </w:p>
        </w:tc>
        <w:tc>
          <w:tcPr>
            <w:tcW w:w="851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</w:t>
            </w:r>
          </w:p>
        </w:tc>
        <w:tc>
          <w:tcPr>
            <w:tcW w:w="850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</w:t>
            </w:r>
          </w:p>
        </w:tc>
        <w:tc>
          <w:tcPr>
            <w:tcW w:w="851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</w:t>
            </w:r>
          </w:p>
        </w:tc>
      </w:tr>
      <w:tr w:rsidR="004A59CB" w:rsidRPr="00DD48B3" w:rsidTr="00A80F8F">
        <w:tc>
          <w:tcPr>
            <w:tcW w:w="1668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</w:t>
            </w:r>
            <w:proofErr w:type="spellEnd"/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відхилення SD</w:t>
            </w:r>
          </w:p>
        </w:tc>
        <w:tc>
          <w:tcPr>
            <w:tcW w:w="737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0,64</w:t>
            </w:r>
          </w:p>
        </w:tc>
        <w:tc>
          <w:tcPr>
            <w:tcW w:w="851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1,01</w:t>
            </w:r>
          </w:p>
        </w:tc>
        <w:tc>
          <w:tcPr>
            <w:tcW w:w="850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3,74</w:t>
            </w:r>
          </w:p>
        </w:tc>
        <w:tc>
          <w:tcPr>
            <w:tcW w:w="851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7,90</w:t>
            </w:r>
          </w:p>
        </w:tc>
      </w:tr>
      <w:tr w:rsidR="004A59CB" w:rsidRPr="00DD48B3" w:rsidTr="00A80F8F">
        <w:tc>
          <w:tcPr>
            <w:tcW w:w="1668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Коефіцієнт варіації CV (%)</w:t>
            </w:r>
          </w:p>
        </w:tc>
        <w:tc>
          <w:tcPr>
            <w:tcW w:w="737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0,58</w:t>
            </w:r>
          </w:p>
        </w:tc>
        <w:tc>
          <w:tcPr>
            <w:tcW w:w="851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0,45</w:t>
            </w:r>
          </w:p>
        </w:tc>
        <w:tc>
          <w:tcPr>
            <w:tcW w:w="850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3,38</w:t>
            </w:r>
          </w:p>
        </w:tc>
        <w:tc>
          <w:tcPr>
            <w:tcW w:w="851" w:type="dxa"/>
          </w:tcPr>
          <w:p w:rsidR="004A59CB" w:rsidRPr="00DD48B3" w:rsidRDefault="004A59CB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3,52</w:t>
            </w:r>
          </w:p>
        </w:tc>
      </w:tr>
    </w:tbl>
    <w:p w:rsidR="00B61347" w:rsidRPr="00DD48B3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DD48B3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DD48B3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F42B2A" w:rsidRPr="00DD48B3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2338D6" w:rsidRPr="00DD48B3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A121D5" w:rsidRPr="00DD48B3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70559E" w:rsidRPr="00DD48B3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DD48B3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=0,</w:t>
      </w:r>
      <w:r w:rsidR="00572CBA" w:rsidRPr="00DD48B3">
        <w:rPr>
          <w:rFonts w:ascii="Times New Roman" w:hAnsi="Times New Roman" w:cs="Times New Roman"/>
          <w:sz w:val="18"/>
          <w:szCs w:val="18"/>
          <w:lang w:val="uk-UA"/>
        </w:rPr>
        <w:t>0013</w:t>
      </w:r>
      <w:r w:rsidR="0078184C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C675A" w:rsidRPr="00DD48B3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E72F30" w:rsidRPr="00DD48B3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440AFE" w:rsidRPr="00DD48B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D8480D" w:rsidRPr="00DD48B3" w:rsidRDefault="00A121D5" w:rsidP="00F63DED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Style w:val="23"/>
          <w:rFonts w:ascii="Times New Roman" w:hAnsi="Times New Roman" w:cs="Times New Roman"/>
          <w:sz w:val="18"/>
          <w:szCs w:val="18"/>
          <w:lang w:val="uk-UA"/>
        </w:rPr>
        <w:t>Точність:</w:t>
      </w:r>
      <w:r w:rsidR="00AB2B24" w:rsidRPr="00DD48B3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87607D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Результати, отримані з використанням реагентів MonlabTest (y), не показали систематичних відмінностей у порівнянні з іншими комерційними реагентами (x).</w:t>
      </w:r>
      <w:r w:rsidR="00D8480D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D8480D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</w:t>
      </w:r>
      <w:r w:rsidR="0078184C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ультати, отримані</w:t>
      </w:r>
      <w:r w:rsidR="00D8480D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  <w:r w:rsidR="00C90D78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при випробуванні 50 проб, </w:t>
      </w:r>
      <w:r w:rsidR="00D8480D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були такими:</w:t>
      </w:r>
    </w:p>
    <w:p w:rsidR="00D8480D" w:rsidRPr="00DD48B3" w:rsidRDefault="00D8480D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Коефіцієнт кореляції (r)</w:t>
      </w:r>
      <w:r w:rsidRPr="00DD48B3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571605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0,99810</w:t>
      </w:r>
    </w:p>
    <w:p w:rsidR="00D8480D" w:rsidRPr="00DD48B3" w:rsidRDefault="0078184C" w:rsidP="00D8480D">
      <w:pPr>
        <w:pStyle w:val="20"/>
        <w:spacing w:after="0" w:line="240" w:lineRule="auto"/>
        <w:ind w:firstLine="708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Рівняння регресії: y= </w:t>
      </w:r>
      <w:r w:rsidR="00C90D78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</w:t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9178</w:t>
      </w:r>
      <w:r w:rsidR="00C90D78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="00D8480D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70559E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–</w:t>
      </w:r>
      <w:r w:rsidR="00E72F30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572CBA"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0,5426</w:t>
      </w:r>
    </w:p>
    <w:p w:rsidR="007C675A" w:rsidRPr="00DD48B3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DD48B3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DD48B3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572CBA" w:rsidRPr="00DD48B3" w:rsidRDefault="005119A5" w:rsidP="002338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При наявності білірубіну &lt;170 мкмоль/л, гемоглобіну &lt;</w:t>
      </w:r>
      <w:r w:rsidR="00572CBA" w:rsidRPr="00DD48B3">
        <w:rPr>
          <w:rFonts w:ascii="Times New Roman" w:hAnsi="Times New Roman" w:cs="Times New Roman"/>
          <w:sz w:val="18"/>
          <w:szCs w:val="18"/>
          <w:lang w:val="uk-UA"/>
        </w:rPr>
        <w:t>10 г/л</w:t>
      </w:r>
      <w:r w:rsidR="00572CBA"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2</w:t>
      </w:r>
      <w:r w:rsidR="00572CBA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ніяких спотворень не спостерігалося.</w:t>
      </w:r>
    </w:p>
    <w:p w:rsidR="00D8480D" w:rsidRPr="00DD48B3" w:rsidRDefault="00572CBA" w:rsidP="002338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571605"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овідомляють про список ліків та інших речовин, що впливають на визначення </w:t>
      </w:r>
      <w:r w:rsidR="00F933AB" w:rsidRPr="00DD48B3">
        <w:rPr>
          <w:rFonts w:ascii="Times New Roman" w:hAnsi="Times New Roman" w:cs="Times New Roman"/>
          <w:sz w:val="18"/>
          <w:szCs w:val="18"/>
          <w:lang w:val="uk-UA"/>
        </w:rPr>
        <w:t>заліза</w:t>
      </w:r>
      <w:r w:rsidRPr="00DD48B3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4,5</w:t>
      </w:r>
      <w:r w:rsidR="00F933AB" w:rsidRPr="00DD48B3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571605" w:rsidRPr="00DD48B3" w:rsidRDefault="00571605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  <w:lang w:val="uk-UA"/>
        </w:rPr>
      </w:pPr>
    </w:p>
    <w:p w:rsidR="00D8480D" w:rsidRPr="00DD48B3" w:rsidRDefault="00D8480D" w:rsidP="00D8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ПРИМІТКИ</w:t>
      </w:r>
    </w:p>
    <w:p w:rsidR="000C0446" w:rsidRPr="00DD48B3" w:rsidRDefault="000C0446" w:rsidP="00C90D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572CBA" w:rsidRPr="00DD48B3" w:rsidRDefault="00572CBA" w:rsidP="00572CB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1. ТРИГЛІЦЕРИДИ : Будьте обережні з цим продуктом, оскільки через його природу він може легко забруднитися.</w:t>
      </w:r>
    </w:p>
    <w:p w:rsidR="00572CBA" w:rsidRPr="00DD48B3" w:rsidRDefault="00572CBA" w:rsidP="00572CB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2. Фактор очищення ліпідів LCF інтегрований в реагент.</w:t>
      </w:r>
    </w:p>
    <w:p w:rsidR="00572CBA" w:rsidRPr="00DD48B3" w:rsidRDefault="00572CBA" w:rsidP="00572CB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3. Калібрування водним стандартом може призвести до систематичної помилки в автоматичних процедурах. У цих випадках рекомендується використовувати сироватковий калібратор.</w:t>
      </w:r>
    </w:p>
    <w:p w:rsidR="00C90D78" w:rsidRPr="00DD48B3" w:rsidRDefault="00572CBA" w:rsidP="00572CBA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4. Використовуйте чисті одноразові наконечники для піпеток для його дозування.</w:t>
      </w:r>
    </w:p>
    <w:p w:rsidR="00AF4B9D" w:rsidRPr="00DD48B3" w:rsidRDefault="00572CBA" w:rsidP="00C90D78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DD48B3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>5</w:t>
      </w:r>
      <w:r w:rsidR="00F933AB" w:rsidRPr="00DD48B3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. </w:t>
      </w:r>
      <w:r w:rsidR="00AF4B9D" w:rsidRPr="00DD48B3">
        <w:rPr>
          <w:rFonts w:ascii="Times New Roman" w:eastAsia="Tahoma" w:hAnsi="Times New Roman" w:cs="Times New Roman"/>
          <w:b/>
          <w:color w:val="000000"/>
          <w:sz w:val="18"/>
          <w:szCs w:val="18"/>
          <w:lang w:val="uk-UA" w:bidi="en-US"/>
        </w:rPr>
        <w:t xml:space="preserve">MONLAB має інструкції для кількох автоматичних аналізаторів. </w:t>
      </w:r>
    </w:p>
    <w:p w:rsidR="00D8480D" w:rsidRPr="00DD48B3" w:rsidRDefault="00D8480D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DD48B3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DD48B3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0A5187" w:rsidRPr="00DD48B3" w:rsidRDefault="000A5187" w:rsidP="00FF121B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572CBA" w:rsidRPr="00DD48B3" w:rsidRDefault="00572CBA" w:rsidP="00572CBA">
      <w:pPr>
        <w:pStyle w:val="20"/>
        <w:numPr>
          <w:ilvl w:val="0"/>
          <w:numId w:val="29"/>
        </w:numPr>
        <w:shd w:val="clear" w:color="auto" w:fill="auto"/>
        <w:tabs>
          <w:tab w:val="left" w:pos="35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Buccolo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G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Quantitative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determination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serum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triglycerides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by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use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enzimes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1973; 19 (5): 476-482.</w:t>
      </w:r>
    </w:p>
    <w:p w:rsidR="00572CBA" w:rsidRPr="00DD48B3" w:rsidRDefault="00572CBA" w:rsidP="00572CBA">
      <w:pPr>
        <w:pStyle w:val="20"/>
        <w:numPr>
          <w:ilvl w:val="0"/>
          <w:numId w:val="29"/>
        </w:numPr>
        <w:shd w:val="clear" w:color="auto" w:fill="auto"/>
        <w:tabs>
          <w:tab w:val="left" w:pos="35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Fossati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P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1982; 28(10): 2077-2080.</w:t>
      </w:r>
    </w:p>
    <w:p w:rsidR="00572CBA" w:rsidRPr="00DD48B3" w:rsidRDefault="00572CBA" w:rsidP="00572CBA">
      <w:pPr>
        <w:pStyle w:val="20"/>
        <w:numPr>
          <w:ilvl w:val="0"/>
          <w:numId w:val="29"/>
        </w:numPr>
        <w:shd w:val="clear" w:color="auto" w:fill="auto"/>
        <w:tabs>
          <w:tab w:val="left" w:pos="35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Kaplan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Tryglycerides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Mosby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Louis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Toronto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Princeton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1984; 437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Lipids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1194-1206.</w:t>
      </w:r>
    </w:p>
    <w:p w:rsidR="00572CBA" w:rsidRPr="00DD48B3" w:rsidRDefault="00572CBA" w:rsidP="00572CBA">
      <w:pPr>
        <w:pStyle w:val="20"/>
        <w:numPr>
          <w:ilvl w:val="0"/>
          <w:numId w:val="29"/>
        </w:numPr>
        <w:shd w:val="clear" w:color="auto" w:fill="auto"/>
        <w:tabs>
          <w:tab w:val="left" w:pos="358"/>
          <w:tab w:val="right" w:pos="501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drugs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</w:t>
      </w:r>
    </w:p>
    <w:p w:rsidR="00572CBA" w:rsidRPr="00DD48B3" w:rsidRDefault="00572CBA" w:rsidP="00572CBA">
      <w:pPr>
        <w:pStyle w:val="20"/>
        <w:shd w:val="clear" w:color="auto" w:fill="auto"/>
        <w:tabs>
          <w:tab w:val="left" w:pos="358"/>
          <w:tab w:val="right" w:pos="501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4th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Press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1995.</w:t>
      </w:r>
    </w:p>
    <w:p w:rsidR="00572CBA" w:rsidRPr="00DD48B3" w:rsidRDefault="00572CBA" w:rsidP="00572CBA">
      <w:pPr>
        <w:pStyle w:val="20"/>
        <w:numPr>
          <w:ilvl w:val="0"/>
          <w:numId w:val="29"/>
        </w:numPr>
        <w:shd w:val="clear" w:color="auto" w:fill="auto"/>
        <w:tabs>
          <w:tab w:val="left" w:pos="358"/>
          <w:tab w:val="right" w:pos="469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</w:t>
      </w:r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disease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</w:p>
    <w:p w:rsidR="00572CBA" w:rsidRPr="00DD48B3" w:rsidRDefault="00572CBA" w:rsidP="00572CBA">
      <w:pPr>
        <w:pStyle w:val="20"/>
        <w:shd w:val="clear" w:color="auto" w:fill="auto"/>
        <w:tabs>
          <w:tab w:val="left" w:pos="358"/>
          <w:tab w:val="right" w:pos="469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2001.</w:t>
      </w:r>
    </w:p>
    <w:p w:rsidR="00572CBA" w:rsidRPr="00DD48B3" w:rsidRDefault="00572CBA" w:rsidP="00572CBA">
      <w:pPr>
        <w:pStyle w:val="20"/>
        <w:numPr>
          <w:ilvl w:val="0"/>
          <w:numId w:val="29"/>
        </w:numPr>
        <w:shd w:val="clear" w:color="auto" w:fill="auto"/>
        <w:tabs>
          <w:tab w:val="left" w:pos="358"/>
          <w:tab w:val="right" w:pos="469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lastRenderedPageBreak/>
        <w:t>Burtis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Textbook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1999.</w:t>
      </w:r>
    </w:p>
    <w:p w:rsidR="00093F24" w:rsidRPr="00DD48B3" w:rsidRDefault="00572CBA" w:rsidP="00BB47AB">
      <w:pPr>
        <w:pStyle w:val="20"/>
        <w:numPr>
          <w:ilvl w:val="0"/>
          <w:numId w:val="29"/>
        </w:numPr>
        <w:shd w:val="clear" w:color="auto" w:fill="auto"/>
        <w:tabs>
          <w:tab w:val="left" w:pos="358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Guide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DD48B3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1995.</w:t>
      </w:r>
    </w:p>
    <w:p w:rsidR="00572CBA" w:rsidRPr="00DD48B3" w:rsidRDefault="00572CBA" w:rsidP="00BB47AB">
      <w:pPr>
        <w:pStyle w:val="20"/>
        <w:shd w:val="clear" w:color="auto" w:fill="auto"/>
        <w:tabs>
          <w:tab w:val="left" w:pos="241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4B144C" w:rsidRPr="00DD48B3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ПАКУВАННЯ</w:t>
      </w:r>
    </w:p>
    <w:p w:rsidR="000A5187" w:rsidRPr="00DD48B3" w:rsidRDefault="000A518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9"/>
        <w:gridCol w:w="1220"/>
        <w:gridCol w:w="1220"/>
        <w:gridCol w:w="1220"/>
      </w:tblGrid>
      <w:tr w:rsidR="009F1906" w:rsidRPr="00DD48B3" w:rsidTr="00A420A3">
        <w:tc>
          <w:tcPr>
            <w:tcW w:w="1219" w:type="dxa"/>
            <w:vAlign w:val="bottom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MO-165099</w:t>
            </w:r>
          </w:p>
        </w:tc>
        <w:tc>
          <w:tcPr>
            <w:tcW w:w="1220" w:type="dxa"/>
            <w:vAlign w:val="bottom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MO-165100</w:t>
            </w:r>
          </w:p>
        </w:tc>
        <w:tc>
          <w:tcPr>
            <w:tcW w:w="1220" w:type="dxa"/>
            <w:vAlign w:val="bottom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MO-165186</w:t>
            </w:r>
          </w:p>
        </w:tc>
        <w:tc>
          <w:tcPr>
            <w:tcW w:w="1220" w:type="dxa"/>
            <w:vAlign w:val="bottom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MO-165221</w:t>
            </w:r>
          </w:p>
        </w:tc>
      </w:tr>
      <w:tr w:rsidR="009F1906" w:rsidRPr="00DD48B3" w:rsidTr="00572CBA">
        <w:tc>
          <w:tcPr>
            <w:tcW w:w="1219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2 x 125 мл</w:t>
            </w:r>
          </w:p>
        </w:tc>
        <w:tc>
          <w:tcPr>
            <w:tcW w:w="1220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1 x 500 мл</w:t>
            </w:r>
          </w:p>
        </w:tc>
        <w:tc>
          <w:tcPr>
            <w:tcW w:w="1220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2 x 50 мл</w:t>
            </w:r>
          </w:p>
        </w:tc>
        <w:tc>
          <w:tcPr>
            <w:tcW w:w="1220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4 x 125 мл</w:t>
            </w:r>
          </w:p>
        </w:tc>
      </w:tr>
      <w:tr w:rsidR="009F1906" w:rsidRPr="00DD48B3" w:rsidTr="00572CBA">
        <w:tc>
          <w:tcPr>
            <w:tcW w:w="1219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20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20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  <w:tc>
          <w:tcPr>
            <w:tcW w:w="1220" w:type="dxa"/>
          </w:tcPr>
          <w:p w:rsidR="009F1906" w:rsidRPr="00DD48B3" w:rsidRDefault="009F1906" w:rsidP="009F190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8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 x 5 мл</w:t>
            </w:r>
          </w:p>
        </w:tc>
      </w:tr>
    </w:tbl>
    <w:p w:rsidR="000C0446" w:rsidRPr="00DD48B3" w:rsidRDefault="000C044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DD48B3"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DD48B3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DD48B3">
        <w:rPr>
          <w:rFonts w:ascii="Times New Roman" w:hAnsi="Times New Roman" w:cs="Times New Roman"/>
          <w:b/>
          <w:sz w:val="18"/>
          <w:szCs w:val="18"/>
          <w:lang w:val="uk-UA"/>
        </w:rPr>
        <w:tab/>
      </w:r>
    </w:p>
    <w:p w:rsidR="000A5187" w:rsidRPr="00DD48B3" w:rsidRDefault="000A5187" w:rsidP="000A51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DD48B3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СИМВОЛИ ТА ПОЗНАЧЕННЯ ДЛЯ КОМПОНЕНТІВ І РЕАГЕНТІВ ДІАГНОСТИКИ</w:t>
      </w:r>
    </w:p>
    <w:p w:rsidR="000A5187" w:rsidRPr="00DD48B3" w:rsidRDefault="000A5187" w:rsidP="000A5187">
      <w:pP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</w:p>
    <w:p w:rsidR="00D205BB" w:rsidRPr="00DD48B3" w:rsidRDefault="00437823" w:rsidP="004A59CB">
      <w:pPr>
        <w:spacing w:after="0" w:line="240" w:lineRule="auto"/>
        <w:jc w:val="both"/>
        <w:rPr>
          <w:rStyle w:val="126pt"/>
          <w:rFonts w:ascii="Times New Roman" w:eastAsiaTheme="minorHAnsi" w:hAnsi="Times New Roman" w:cs="Times New Roman"/>
          <w:bCs w:val="0"/>
          <w:color w:val="auto"/>
          <w:sz w:val="18"/>
          <w:szCs w:val="18"/>
          <w:shd w:val="clear" w:color="auto" w:fill="auto"/>
          <w:lang w:val="uk-UA" w:bidi="ar-SA"/>
        </w:rPr>
      </w:pPr>
      <w:r w:rsidRPr="00DD48B3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6F893786" wp14:editId="7E2402D7">
            <wp:extent cx="3439271" cy="10191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3" cy="101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5BB" w:rsidRPr="00DD48B3" w:rsidRDefault="00D205BB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0C0446" w:rsidRPr="00DD48B3" w:rsidRDefault="000A5187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DD48B3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Посилання: MO-165</w:t>
      </w:r>
      <w:r w:rsidR="009F1906" w:rsidRPr="00DD48B3">
        <w:rPr>
          <w:rStyle w:val="126pt"/>
          <w:rFonts w:ascii="Times New Roman" w:hAnsi="Times New Roman" w:cs="Times New Roman"/>
          <w:sz w:val="18"/>
          <w:szCs w:val="18"/>
          <w:lang w:val="uk-UA"/>
        </w:rPr>
        <w:t>099/MO-165100/MO-165186/ MO-165221</w:t>
      </w:r>
    </w:p>
    <w:p w:rsidR="000A5187" w:rsidRPr="00DD48B3" w:rsidRDefault="00D83A15" w:rsidP="000A5187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9F1906" w:rsidRPr="00DD48B3">
        <w:rPr>
          <w:rFonts w:ascii="Times New Roman" w:hAnsi="Times New Roman" w:cs="Times New Roman"/>
          <w:sz w:val="18"/>
          <w:szCs w:val="18"/>
          <w:lang w:val="uk-UA"/>
        </w:rPr>
        <w:t>лютий 2021</w:t>
      </w:r>
    </w:p>
    <w:p w:rsidR="000A5187" w:rsidRPr="00DD48B3" w:rsidRDefault="000A5187" w:rsidP="000A518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DD48B3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DD48B3">
        <w:rPr>
          <w:rFonts w:ascii="Times New Roman" w:hAnsi="Times New Roman" w:cs="Times New Roman"/>
          <w:sz w:val="18"/>
          <w:szCs w:val="18"/>
          <w:lang w:val="uk-UA"/>
        </w:rPr>
        <w:t xml:space="preserve"> SL Сельва де Мар 48 08019 Барселона (Іспанія) тел. +34 93 433 58 60 факс +34 93 436 38 94 </w:t>
      </w:r>
      <w:r w:rsidRPr="00DD48B3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DD48B3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DD48B3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DD48B3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9F1906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0A5187" w:rsidRPr="009F1906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C44BA"/>
    <w:multiLevelType w:val="multilevel"/>
    <w:tmpl w:val="9182CDC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90574F"/>
    <w:multiLevelType w:val="multilevel"/>
    <w:tmpl w:val="702CA97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237D0"/>
    <w:multiLevelType w:val="multilevel"/>
    <w:tmpl w:val="BB285F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0B0A07"/>
    <w:multiLevelType w:val="multilevel"/>
    <w:tmpl w:val="BFCA26C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0FD5"/>
    <w:multiLevelType w:val="hybridMultilevel"/>
    <w:tmpl w:val="08C8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2D36A4"/>
    <w:multiLevelType w:val="multilevel"/>
    <w:tmpl w:val="D6202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6F5B36"/>
    <w:multiLevelType w:val="multilevel"/>
    <w:tmpl w:val="D4DA4F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1C5D68"/>
    <w:multiLevelType w:val="multilevel"/>
    <w:tmpl w:val="71BEF0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034624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9C45A4"/>
    <w:multiLevelType w:val="hybridMultilevel"/>
    <w:tmpl w:val="90AC8198"/>
    <w:lvl w:ilvl="0" w:tplc="5B9A781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C47D7"/>
    <w:multiLevelType w:val="multilevel"/>
    <w:tmpl w:val="9574EB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101E0C"/>
    <w:multiLevelType w:val="multilevel"/>
    <w:tmpl w:val="BE207E8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550916"/>
    <w:multiLevelType w:val="multilevel"/>
    <w:tmpl w:val="6B54DD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3A110A"/>
    <w:multiLevelType w:val="multilevel"/>
    <w:tmpl w:val="3A08915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81817"/>
    <w:multiLevelType w:val="multilevel"/>
    <w:tmpl w:val="A6FC82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D82A2D"/>
    <w:multiLevelType w:val="multilevel"/>
    <w:tmpl w:val="64963DE0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D66BD8"/>
    <w:multiLevelType w:val="multilevel"/>
    <w:tmpl w:val="36B87B1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31707D"/>
    <w:multiLevelType w:val="multilevel"/>
    <w:tmpl w:val="948C28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C30F33"/>
    <w:multiLevelType w:val="multilevel"/>
    <w:tmpl w:val="AABEBB9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7"/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14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  <w:num w:numId="14">
    <w:abstractNumId w:val="20"/>
  </w:num>
  <w:num w:numId="15">
    <w:abstractNumId w:val="16"/>
  </w:num>
  <w:num w:numId="16">
    <w:abstractNumId w:val="23"/>
  </w:num>
  <w:num w:numId="17">
    <w:abstractNumId w:val="6"/>
  </w:num>
  <w:num w:numId="18">
    <w:abstractNumId w:val="27"/>
  </w:num>
  <w:num w:numId="19">
    <w:abstractNumId w:val="19"/>
  </w:num>
  <w:num w:numId="20">
    <w:abstractNumId w:val="13"/>
  </w:num>
  <w:num w:numId="21">
    <w:abstractNumId w:val="25"/>
  </w:num>
  <w:num w:numId="22">
    <w:abstractNumId w:val="18"/>
  </w:num>
  <w:num w:numId="23">
    <w:abstractNumId w:val="28"/>
  </w:num>
  <w:num w:numId="24">
    <w:abstractNumId w:val="21"/>
  </w:num>
  <w:num w:numId="25">
    <w:abstractNumId w:val="5"/>
  </w:num>
  <w:num w:numId="26">
    <w:abstractNumId w:val="9"/>
  </w:num>
  <w:num w:numId="27">
    <w:abstractNumId w:val="26"/>
  </w:num>
  <w:num w:numId="28">
    <w:abstractNumId w:val="4"/>
  </w:num>
  <w:num w:numId="2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52B57"/>
    <w:rsid w:val="0007676A"/>
    <w:rsid w:val="00084009"/>
    <w:rsid w:val="00093F24"/>
    <w:rsid w:val="000A5187"/>
    <w:rsid w:val="000C0263"/>
    <w:rsid w:val="000C0446"/>
    <w:rsid w:val="000E0766"/>
    <w:rsid w:val="000E4348"/>
    <w:rsid w:val="000F4E3D"/>
    <w:rsid w:val="000F7011"/>
    <w:rsid w:val="0012517C"/>
    <w:rsid w:val="00125E46"/>
    <w:rsid w:val="001534D0"/>
    <w:rsid w:val="00153F0B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25BDD"/>
    <w:rsid w:val="002338D6"/>
    <w:rsid w:val="00281DB7"/>
    <w:rsid w:val="002D4172"/>
    <w:rsid w:val="002F7E64"/>
    <w:rsid w:val="0030798E"/>
    <w:rsid w:val="0032073A"/>
    <w:rsid w:val="00325814"/>
    <w:rsid w:val="0036200A"/>
    <w:rsid w:val="00372693"/>
    <w:rsid w:val="00386551"/>
    <w:rsid w:val="00396DC4"/>
    <w:rsid w:val="003C6FDE"/>
    <w:rsid w:val="00413844"/>
    <w:rsid w:val="00420E94"/>
    <w:rsid w:val="00437823"/>
    <w:rsid w:val="00440AFE"/>
    <w:rsid w:val="004567C8"/>
    <w:rsid w:val="004A59CB"/>
    <w:rsid w:val="004B144C"/>
    <w:rsid w:val="004B172B"/>
    <w:rsid w:val="004E3BE1"/>
    <w:rsid w:val="004E3E06"/>
    <w:rsid w:val="0050593A"/>
    <w:rsid w:val="00506ACC"/>
    <w:rsid w:val="005119A5"/>
    <w:rsid w:val="00511BDE"/>
    <w:rsid w:val="005228C6"/>
    <w:rsid w:val="0052678B"/>
    <w:rsid w:val="00527CE3"/>
    <w:rsid w:val="0056416C"/>
    <w:rsid w:val="00570293"/>
    <w:rsid w:val="00571605"/>
    <w:rsid w:val="00571F41"/>
    <w:rsid w:val="00572CBA"/>
    <w:rsid w:val="00580059"/>
    <w:rsid w:val="0058615B"/>
    <w:rsid w:val="00586BEB"/>
    <w:rsid w:val="0059081E"/>
    <w:rsid w:val="005E0B2F"/>
    <w:rsid w:val="005E64A1"/>
    <w:rsid w:val="006075E4"/>
    <w:rsid w:val="006416E1"/>
    <w:rsid w:val="00642C57"/>
    <w:rsid w:val="00647C6E"/>
    <w:rsid w:val="006537C2"/>
    <w:rsid w:val="0067124C"/>
    <w:rsid w:val="006753EE"/>
    <w:rsid w:val="00693047"/>
    <w:rsid w:val="0069480A"/>
    <w:rsid w:val="006A58E7"/>
    <w:rsid w:val="006E746B"/>
    <w:rsid w:val="006F74EF"/>
    <w:rsid w:val="006F7925"/>
    <w:rsid w:val="00701C78"/>
    <w:rsid w:val="0070559E"/>
    <w:rsid w:val="007104B2"/>
    <w:rsid w:val="0071458E"/>
    <w:rsid w:val="00725AB2"/>
    <w:rsid w:val="007270ED"/>
    <w:rsid w:val="0074791D"/>
    <w:rsid w:val="00754086"/>
    <w:rsid w:val="00777880"/>
    <w:rsid w:val="0078184C"/>
    <w:rsid w:val="007C4136"/>
    <w:rsid w:val="007C675A"/>
    <w:rsid w:val="007F3A34"/>
    <w:rsid w:val="00823EFC"/>
    <w:rsid w:val="00840E69"/>
    <w:rsid w:val="0087607D"/>
    <w:rsid w:val="008850E4"/>
    <w:rsid w:val="00897DA5"/>
    <w:rsid w:val="008D0449"/>
    <w:rsid w:val="008F32DD"/>
    <w:rsid w:val="00907183"/>
    <w:rsid w:val="00933624"/>
    <w:rsid w:val="00934FAA"/>
    <w:rsid w:val="00957380"/>
    <w:rsid w:val="009638BE"/>
    <w:rsid w:val="00986C81"/>
    <w:rsid w:val="009B4F7A"/>
    <w:rsid w:val="009E5260"/>
    <w:rsid w:val="009F1906"/>
    <w:rsid w:val="00A03FAA"/>
    <w:rsid w:val="00A121D5"/>
    <w:rsid w:val="00A44E33"/>
    <w:rsid w:val="00A50034"/>
    <w:rsid w:val="00AB2B24"/>
    <w:rsid w:val="00AD6BD5"/>
    <w:rsid w:val="00AF4B9D"/>
    <w:rsid w:val="00AF4C3E"/>
    <w:rsid w:val="00B0549D"/>
    <w:rsid w:val="00B063B5"/>
    <w:rsid w:val="00B20D82"/>
    <w:rsid w:val="00B24DED"/>
    <w:rsid w:val="00B6005D"/>
    <w:rsid w:val="00B61347"/>
    <w:rsid w:val="00B62FA4"/>
    <w:rsid w:val="00B67132"/>
    <w:rsid w:val="00B70A34"/>
    <w:rsid w:val="00B80413"/>
    <w:rsid w:val="00B9073E"/>
    <w:rsid w:val="00BA66EE"/>
    <w:rsid w:val="00BB47AB"/>
    <w:rsid w:val="00BF4346"/>
    <w:rsid w:val="00C01FDE"/>
    <w:rsid w:val="00C165E0"/>
    <w:rsid w:val="00C27AA8"/>
    <w:rsid w:val="00C5500D"/>
    <w:rsid w:val="00C64C7F"/>
    <w:rsid w:val="00C75832"/>
    <w:rsid w:val="00C8125B"/>
    <w:rsid w:val="00C90D78"/>
    <w:rsid w:val="00D104E5"/>
    <w:rsid w:val="00D10693"/>
    <w:rsid w:val="00D205BB"/>
    <w:rsid w:val="00D32F85"/>
    <w:rsid w:val="00D726C7"/>
    <w:rsid w:val="00D733F7"/>
    <w:rsid w:val="00D83A15"/>
    <w:rsid w:val="00D8480D"/>
    <w:rsid w:val="00D96D4B"/>
    <w:rsid w:val="00DB4658"/>
    <w:rsid w:val="00DB72EB"/>
    <w:rsid w:val="00DD48B3"/>
    <w:rsid w:val="00DE2EB0"/>
    <w:rsid w:val="00DF0B82"/>
    <w:rsid w:val="00E158B3"/>
    <w:rsid w:val="00E275D1"/>
    <w:rsid w:val="00E41777"/>
    <w:rsid w:val="00E47045"/>
    <w:rsid w:val="00E60C96"/>
    <w:rsid w:val="00E72F30"/>
    <w:rsid w:val="00E858CB"/>
    <w:rsid w:val="00E902C4"/>
    <w:rsid w:val="00E94547"/>
    <w:rsid w:val="00EB4107"/>
    <w:rsid w:val="00EC2B33"/>
    <w:rsid w:val="00EF0CB3"/>
    <w:rsid w:val="00F01024"/>
    <w:rsid w:val="00F03E36"/>
    <w:rsid w:val="00F42B2A"/>
    <w:rsid w:val="00F47A43"/>
    <w:rsid w:val="00F63DED"/>
    <w:rsid w:val="00F83D84"/>
    <w:rsid w:val="00F933AB"/>
    <w:rsid w:val="00FB252A"/>
    <w:rsid w:val="00FB5FEE"/>
    <w:rsid w:val="00FB68D4"/>
    <w:rsid w:val="00FD3B17"/>
    <w:rsid w:val="00FE758A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E997"/>
  <w15:docId w15:val="{FF0601C6-EE79-40A3-9E3D-84F2118F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55pt">
    <w:name w:val="Основной текст (2) + Candara;5;5 pt"/>
    <w:basedOn w:val="2"/>
    <w:rsid w:val="000E434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Arial65pt">
    <w:name w:val="Основной текст (2) + Arial;6;5 pt"/>
    <w:basedOn w:val="2"/>
    <w:rsid w:val="0078184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5Verdana6pt">
    <w:name w:val="Основной текст (5) + Verdana;6 pt"/>
    <w:basedOn w:val="5"/>
    <w:rsid w:val="0078184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FranklinGothicHeavy">
    <w:name w:val="Основной текст (2) + Franklin Gothic Heavy"/>
    <w:basedOn w:val="2"/>
    <w:rsid w:val="002338D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5pt">
    <w:name w:val="Основной текст (2) + 5 pt"/>
    <w:basedOn w:val="2"/>
    <w:rsid w:val="002338D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2Arial0pt">
    <w:name w:val="Основной текст (2) + Arial;Курсив;Интервал 0 pt"/>
    <w:basedOn w:val="2"/>
    <w:rsid w:val="00725AB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4879</Words>
  <Characters>2782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62</cp:revision>
  <dcterms:created xsi:type="dcterms:W3CDTF">2022-01-21T10:40:00Z</dcterms:created>
  <dcterms:modified xsi:type="dcterms:W3CDTF">2022-10-14T09:48:00Z</dcterms:modified>
</cp:coreProperties>
</file>