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05" w:rsidRDefault="008F2005" w:rsidP="008F2005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6192" behindDoc="0" locked="0" layoutInCell="1" allowOverlap="1" wp14:anchorId="07E4E920" wp14:editId="73D02CA4">
            <wp:simplePos x="0" y="0"/>
            <wp:positionH relativeFrom="column">
              <wp:posOffset>1282065</wp:posOffset>
            </wp:positionH>
            <wp:positionV relativeFrom="paragraph">
              <wp:posOffset>257175</wp:posOffset>
            </wp:positionV>
            <wp:extent cx="189613" cy="277678"/>
            <wp:effectExtent l="0" t="0" r="127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3" cy="277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2E9840E" wp14:editId="237BD159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601B0904" wp14:editId="0835B573">
            <wp:extent cx="487680" cy="3352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034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3360" behindDoc="0" locked="0" layoutInCell="1" allowOverlap="1" wp14:anchorId="0F7EABD6" wp14:editId="0992E6EB">
            <wp:simplePos x="0" y="0"/>
            <wp:positionH relativeFrom="column">
              <wp:posOffset>732790</wp:posOffset>
            </wp:positionH>
            <wp:positionV relativeFrom="paragraph">
              <wp:posOffset>-699769</wp:posOffset>
            </wp:positionV>
            <wp:extent cx="5143500" cy="678346"/>
            <wp:effectExtent l="0" t="0" r="0" b="762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164" cy="6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887585" w:rsidRDefault="008F2005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  <w:r w:rsidRPr="00887585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t xml:space="preserve"> </w:t>
      </w:r>
      <w:r w:rsidR="00DB72EB" w:rsidRPr="0088758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8758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8758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</w:tblGrid>
      <w:tr w:rsidR="0052678B" w:rsidRPr="008F2005" w:rsidTr="00133234">
        <w:trPr>
          <w:trHeight w:val="762"/>
        </w:trPr>
        <w:tc>
          <w:tcPr>
            <w:tcW w:w="4962" w:type="dxa"/>
          </w:tcPr>
          <w:p w:rsidR="00CE71D0" w:rsidRPr="008F2005" w:rsidRDefault="00084009" w:rsidP="00CE71D0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Х</w:t>
            </w:r>
            <w:r w:rsidR="002D4172"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олестерин</w:t>
            </w:r>
            <w:r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CE71D0"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ліпопротеїнів</w:t>
            </w:r>
            <w:proofErr w:type="spellEnd"/>
            <w:r w:rsidR="00CE71D0"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високої щільності</w:t>
            </w:r>
          </w:p>
          <w:p w:rsidR="00CE71D0" w:rsidRPr="008F2005" w:rsidRDefault="00CE71D0" w:rsidP="00CE71D0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HDL</w:t>
            </w:r>
          </w:p>
          <w:p w:rsidR="00396DC4" w:rsidRPr="008F2005" w:rsidRDefault="002F7E64" w:rsidP="00133234">
            <w:pPr>
              <w:jc w:val="center"/>
              <w:rPr>
                <w:rStyle w:val="60"/>
                <w:rFonts w:ascii="Times New Roman" w:eastAsiaTheme="minorHAnsi" w:hAnsi="Times New Roman" w:cs="Times New Roman"/>
                <w:b w:val="0"/>
                <w:bCs w:val="0"/>
                <w:color w:val="auto"/>
                <w:sz w:val="18"/>
                <w:szCs w:val="18"/>
                <w:lang w:val="uk-UA" w:bidi="ar-SA"/>
              </w:rPr>
            </w:pPr>
            <w:proofErr w:type="spellStart"/>
            <w:r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</w:t>
            </w:r>
            <w:r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8F2005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2678B" w:rsidRPr="008F2005" w:rsidRDefault="00CE71D0" w:rsidP="002D417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Пряме, ферментативне, колори</w:t>
            </w:r>
            <w:r w:rsidR="004F01E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</w:t>
            </w: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</w:t>
            </w:r>
            <w:r w:rsidR="004F01E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  <w:bookmarkStart w:id="1" w:name="_GoBack"/>
            <w:bookmarkEnd w:id="1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ичне тестування</w:t>
            </w:r>
          </w:p>
        </w:tc>
      </w:tr>
    </w:tbl>
    <w:p w:rsidR="00133234" w:rsidRPr="008F2005" w:rsidRDefault="00133234" w:rsidP="00CE71D0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</w:p>
    <w:p w:rsidR="00CE71D0" w:rsidRPr="008F2005" w:rsidRDefault="00084009" w:rsidP="00CE71D0">
      <w:pPr>
        <w:spacing w:after="0" w:line="240" w:lineRule="auto"/>
        <w:jc w:val="center"/>
        <w:rPr>
          <w:rStyle w:val="60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r w:rsidR="00CE71D0" w:rsidRPr="008F2005">
        <w:rPr>
          <w:rStyle w:val="60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HDL</w:t>
      </w:r>
    </w:p>
    <w:p w:rsidR="00084009" w:rsidRPr="008F2005" w:rsidRDefault="002D4172" w:rsidP="00CE71D0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8F2005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холестерину</w:t>
      </w:r>
      <w:r w:rsidR="00084009" w:rsidRPr="008F2005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 </w:t>
      </w:r>
    </w:p>
    <w:p w:rsidR="00396DC4" w:rsidRPr="008F2005" w:rsidRDefault="00194F6F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8F2005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8F2005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8F2005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77880" w:rsidRPr="008F2005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="00777880" w:rsidRPr="008F2005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133234" w:rsidRPr="008F2005" w:rsidRDefault="00133234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8F2005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8F2005" w:rsidRDefault="00396DC4" w:rsidP="0007676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CE71D0" w:rsidRPr="008F2005" w:rsidRDefault="00CE71D0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Безпосереднє визначення рівнів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HDLc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(холестерину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ліпопротеїнів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високої щільності) у сироватці без необхідності попередньої обробки або центрифугування зразка3,5.</w:t>
      </w:r>
    </w:p>
    <w:p w:rsidR="00CE71D0" w:rsidRPr="008F2005" w:rsidRDefault="00CE71D0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Аналіз відбувається в два етапи</w:t>
      </w:r>
      <w:r w:rsidR="00C457FE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CE71D0" w:rsidRPr="008F2005" w:rsidRDefault="00CE71D0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CE71D0" w:rsidRPr="008F2005" w:rsidRDefault="00C457FE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1* виділення ліпопротеїнів не-</w:t>
      </w:r>
      <w:r w:rsidR="00CE71D0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HDL:</w:t>
      </w:r>
    </w:p>
    <w:p w:rsidR="003C3189" w:rsidRPr="008F2005" w:rsidRDefault="00CE71D0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     </w:t>
      </w:r>
      <w:r w:rsidR="003C3189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</w:t>
      </w:r>
    </w:p>
    <w:p w:rsidR="00194F6F" w:rsidRPr="008F2005" w:rsidRDefault="00CE71D0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Ефіри холестерину 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</w:t>
      </w:r>
      <w:r w:rsidR="003C3189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→</w:t>
      </w:r>
      <w:r w:rsidR="003C3189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+ жирні кислоти</w:t>
      </w:r>
    </w:p>
    <w:p w:rsidR="00194F6F" w:rsidRPr="008F2005" w:rsidRDefault="003C3189" w:rsidP="003C3189">
      <w:pPr>
        <w:pStyle w:val="2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CHOD</w:t>
      </w:r>
    </w:p>
    <w:p w:rsidR="00CE71D0" w:rsidRPr="008F2005" w:rsidRDefault="00194F6F" w:rsidP="00CE71D0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+ O</w:t>
      </w:r>
      <w:r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—</w:t>
      </w:r>
      <w:r w:rsidR="003C3189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</w:t>
      </w:r>
      <w:r w:rsidR="00CE71D0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→ 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Холестенон + H</w:t>
      </w:r>
      <w:r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O</w:t>
      </w:r>
      <w:r w:rsidR="004F28AF"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</w:p>
    <w:p w:rsidR="003C3189" w:rsidRPr="008F2005" w:rsidRDefault="00CE71D0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каталаза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</w:p>
    <w:p w:rsidR="00194F6F" w:rsidRPr="008F2005" w:rsidRDefault="00126708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CE71D0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3C3189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---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—</w:t>
      </w:r>
      <w:r w:rsidR="00CE71D0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→ 2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194F6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="00CE71D0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+О</w:t>
      </w:r>
      <w:r w:rsidR="00CE71D0"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</w:p>
    <w:p w:rsidR="00CE71D0" w:rsidRPr="008F2005" w:rsidRDefault="00CE71D0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2* вимірювання HDL холестерину:</w:t>
      </w:r>
    </w:p>
    <w:p w:rsidR="00CE71D0" w:rsidRPr="008F2005" w:rsidRDefault="00CE71D0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         CHE</w:t>
      </w:r>
    </w:p>
    <w:p w:rsidR="00CE71D0" w:rsidRPr="008F2005" w:rsidRDefault="00CE71D0" w:rsidP="00CE71D0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Ефіри холестерину ----→ Холестерин + жирні кислоти</w:t>
      </w:r>
    </w:p>
    <w:p w:rsidR="00CE71D0" w:rsidRPr="008F2005" w:rsidRDefault="00CE71D0" w:rsidP="00CE71D0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              CHOD</w:t>
      </w:r>
    </w:p>
    <w:p w:rsidR="00CE71D0" w:rsidRPr="008F2005" w:rsidRDefault="00CE71D0" w:rsidP="00CE71D0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+ O</w:t>
      </w:r>
      <w:r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—--</w:t>
      </w:r>
      <w:r w:rsidR="004F28A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→ 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Холестенон + H</w:t>
      </w:r>
      <w:r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O</w:t>
      </w:r>
      <w:r w:rsidR="004F28AF"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</w:p>
    <w:p w:rsidR="004F28AF" w:rsidRPr="008F2005" w:rsidRDefault="004F28AF" w:rsidP="00CE71D0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</w:p>
    <w:p w:rsidR="004F28AF" w:rsidRPr="008F2005" w:rsidRDefault="004F28AF" w:rsidP="00CE71D0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POD</w:t>
      </w:r>
    </w:p>
    <w:p w:rsidR="004F28AF" w:rsidRPr="008F2005" w:rsidRDefault="004F28AF" w:rsidP="004F28AF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 H</w:t>
      </w:r>
      <w:r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O</w:t>
      </w:r>
      <w:r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 xml:space="preserve">2 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+HDAOS + 4-AA ------→ пігмент хінону+4 H</w:t>
      </w:r>
      <w:r w:rsidRPr="008F2005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</w:p>
    <w:p w:rsidR="00CE71D0" w:rsidRPr="008F2005" w:rsidRDefault="00CE71D0" w:rsidP="00CE71D0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194F6F" w:rsidRPr="008F2005" w:rsidRDefault="00194F6F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vertAlign w:val="superscript"/>
          <w:lang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Інтенсивність утвореного кольору пропорційна концентрації </w:t>
      </w:r>
      <w:r w:rsidR="004F28AF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HDL 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холестерину в пробі</w:t>
      </w:r>
      <w:r w:rsidR="001603C8" w:rsidRPr="008F2005">
        <w:rPr>
          <w:rFonts w:ascii="Times New Roman" w:hAnsi="Times New Roman" w:cs="Times New Roman"/>
          <w:color w:val="000000"/>
          <w:sz w:val="18"/>
          <w:szCs w:val="18"/>
          <w:lang w:bidi="en-US"/>
        </w:rPr>
        <w:t>.</w:t>
      </w:r>
    </w:p>
    <w:p w:rsidR="004F28AF" w:rsidRPr="008F2005" w:rsidRDefault="004F28AF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E275D1" w:rsidRPr="008F2005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133234" w:rsidRPr="008F2005" w:rsidRDefault="00133234" w:rsidP="004F28AF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4F28AF" w:rsidRPr="008F2005" w:rsidRDefault="004F28AF" w:rsidP="004F28AF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Частинки HDL – це ліпопротеїни високої щільності, які транспортують холестерин з тканин організму до печінки. Оскільки HDL може видаляти холестерин з артерій і переносити його назад у печінку для їх виведення, HDL відомий як «хороший холестерин», оскільки вважається, що високий рівень знижує ризик серцевих захворювань та ішемічної хвороби серця.</w:t>
      </w:r>
    </w:p>
    <w:p w:rsidR="004F28AF" w:rsidRPr="008F2005" w:rsidRDefault="004F28AF" w:rsidP="004F28AF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Низький рівень холестерину HDL вважається більшим ризиком серцевих захворювань</w:t>
      </w:r>
      <w:r w:rsidRPr="008F2005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1,2,4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133234" w:rsidRPr="008F2005" w:rsidRDefault="00194F6F" w:rsidP="008D044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DB72EB" w:rsidRPr="008F2005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8F2005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8F2005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5070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</w:tblGrid>
      <w:tr w:rsidR="00133234" w:rsidRPr="008F2005" w:rsidTr="00133234">
        <w:trPr>
          <w:trHeight w:val="209"/>
        </w:trPr>
        <w:tc>
          <w:tcPr>
            <w:tcW w:w="1101" w:type="dxa"/>
            <w:vAlign w:val="center"/>
          </w:tcPr>
          <w:p w:rsidR="00133234" w:rsidRPr="008F2005" w:rsidRDefault="00133234" w:rsidP="00BF12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33234" w:rsidRPr="008F2005" w:rsidRDefault="00133234" w:rsidP="00BF12BB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8F20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R1</w:t>
            </w:r>
          </w:p>
          <w:p w:rsidR="00133234" w:rsidRPr="008F2005" w:rsidRDefault="00133234" w:rsidP="00BF12BB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</w:pP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N,N-біс(2-гідроксиетил)-2-аміноетансульфонова кислота </w:t>
            </w:r>
            <w:proofErr w:type="spellStart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pH</w:t>
            </w:r>
            <w:proofErr w:type="spellEnd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6,6 100 </w:t>
            </w:r>
            <w:proofErr w:type="spellStart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мМ</w:t>
            </w:r>
            <w:proofErr w:type="spellEnd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</w:t>
            </w:r>
          </w:p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</w:pP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N-(2-гідрокси-3-сульфопропіл)-3,5-диметоксианілін (HDAOS)         0,7 </w:t>
            </w:r>
            <w:proofErr w:type="spellStart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мМ</w:t>
            </w:r>
            <w:proofErr w:type="spellEnd"/>
          </w:p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Естераза</w:t>
            </w:r>
            <w:proofErr w:type="spellEnd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 xml:space="preserve"> холестерину (</w:t>
            </w: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CHE</w:t>
            </w: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) ≥800 Од/л</w:t>
            </w:r>
            <w:r w:rsidRPr="008F20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</w:t>
            </w:r>
          </w:p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Оксидаза холестерину (</w:t>
            </w: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CHOD</w:t>
            </w: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) 300 Од/л</w:t>
            </w:r>
          </w:p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Оксидаза холестерину ≥500 Од/л</w:t>
            </w:r>
          </w:p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 xml:space="preserve">Каталаза </w:t>
            </w:r>
            <w:r w:rsidRPr="008F20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            </w:t>
            </w: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≥300 Од/л</w:t>
            </w:r>
          </w:p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Аскорбінова оксидаза &gt; 3000 ОД/л</w:t>
            </w:r>
          </w:p>
        </w:tc>
      </w:tr>
      <w:tr w:rsidR="00133234" w:rsidRPr="004F01E2" w:rsidTr="00133234">
        <w:trPr>
          <w:trHeight w:val="259"/>
        </w:trPr>
        <w:tc>
          <w:tcPr>
            <w:tcW w:w="1101" w:type="dxa"/>
          </w:tcPr>
          <w:p w:rsidR="00133234" w:rsidRPr="008F2005" w:rsidRDefault="00133234" w:rsidP="00BF12BB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8F20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R2</w:t>
            </w:r>
          </w:p>
          <w:p w:rsidR="00133234" w:rsidRPr="008F2005" w:rsidRDefault="00133234" w:rsidP="00BF12BB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133234" w:rsidRPr="008F2005" w:rsidRDefault="00133234" w:rsidP="00BF12BB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</w:pPr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N,N-біс(2-гідроксиетил)-2-аміноетансульфонова кислота </w:t>
            </w:r>
            <w:proofErr w:type="spellStart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pH</w:t>
            </w:r>
            <w:proofErr w:type="spellEnd"/>
            <w:r w:rsidRPr="008F2005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7,0 1,1 ммоль/л</w:t>
            </w:r>
          </w:p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Аміноантипірин</w:t>
            </w:r>
            <w:proofErr w:type="spellEnd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(4-АА) 100 </w:t>
            </w:r>
            <w:proofErr w:type="spellStart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</w:t>
            </w:r>
            <w:proofErr w:type="spellEnd"/>
          </w:p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Пероксидаза</w:t>
            </w:r>
            <w:proofErr w:type="spellEnd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≥3500 Од/л</w:t>
            </w:r>
          </w:p>
        </w:tc>
      </w:tr>
      <w:tr w:rsidR="00133234" w:rsidRPr="008F2005" w:rsidTr="00133234">
        <w:trPr>
          <w:trHeight w:val="259"/>
        </w:trPr>
        <w:tc>
          <w:tcPr>
            <w:tcW w:w="1101" w:type="dxa"/>
          </w:tcPr>
          <w:p w:rsidR="00133234" w:rsidRPr="008F2005" w:rsidRDefault="00133234" w:rsidP="00BF12BB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8F20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HDLc</w:t>
            </w:r>
            <w:proofErr w:type="spellEnd"/>
            <w:r w:rsidRPr="008F20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/</w:t>
            </w:r>
            <w:proofErr w:type="spellStart"/>
            <w:r w:rsidRPr="008F20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LDLc</w:t>
            </w:r>
            <w:proofErr w:type="spellEnd"/>
            <w:r w:rsidRPr="008F20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CAL</w:t>
            </w:r>
          </w:p>
        </w:tc>
        <w:tc>
          <w:tcPr>
            <w:tcW w:w="3969" w:type="dxa"/>
          </w:tcPr>
          <w:p w:rsidR="00133234" w:rsidRPr="008F2005" w:rsidRDefault="00133234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Калібратор</w:t>
            </w:r>
            <w:proofErr w:type="spellEnd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ліофілізована</w:t>
            </w:r>
            <w:proofErr w:type="spellEnd"/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сироватка людини</w:t>
            </w:r>
          </w:p>
        </w:tc>
      </w:tr>
    </w:tbl>
    <w:p w:rsidR="006F7925" w:rsidRPr="008F2005" w:rsidRDefault="006F7925" w:rsidP="006F792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20E94" w:rsidRPr="008F2005" w:rsidRDefault="00420E94" w:rsidP="004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ЗАПОБІЖНІ ЗАХОДИ</w:t>
      </w:r>
    </w:p>
    <w:p w:rsidR="00133234" w:rsidRPr="008F2005" w:rsidRDefault="00133234" w:rsidP="00CA491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420E94" w:rsidRPr="008F2005" w:rsidRDefault="00CA4916" w:rsidP="00CA49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8F2005">
        <w:rPr>
          <w:rFonts w:ascii="Times New Roman" w:hAnsi="Times New Roman" w:cs="Times New Roman"/>
          <w:b/>
          <w:sz w:val="18"/>
          <w:szCs w:val="18"/>
          <w:lang w:val="uk-UA"/>
        </w:rPr>
        <w:t>HDLc</w:t>
      </w:r>
      <w:proofErr w:type="spellEnd"/>
      <w:r w:rsidRPr="008F2005">
        <w:rPr>
          <w:rFonts w:ascii="Times New Roman" w:hAnsi="Times New Roman" w:cs="Times New Roman"/>
          <w:b/>
          <w:sz w:val="18"/>
          <w:szCs w:val="18"/>
          <w:lang w:val="uk-UA"/>
        </w:rPr>
        <w:t>/</w:t>
      </w:r>
      <w:proofErr w:type="spellStart"/>
      <w:r w:rsidRPr="008F2005">
        <w:rPr>
          <w:rFonts w:ascii="Times New Roman" w:hAnsi="Times New Roman" w:cs="Times New Roman"/>
          <w:b/>
          <w:sz w:val="18"/>
          <w:szCs w:val="18"/>
          <w:lang w:val="uk-UA"/>
        </w:rPr>
        <w:t>LDLc</w:t>
      </w:r>
      <w:proofErr w:type="spellEnd"/>
      <w:r w:rsidRPr="008F2005">
        <w:rPr>
          <w:rFonts w:ascii="Times New Roman" w:hAnsi="Times New Roman" w:cs="Times New Roman"/>
          <w:b/>
          <w:sz w:val="18"/>
          <w:szCs w:val="18"/>
          <w:lang w:val="uk-UA"/>
        </w:rPr>
        <w:t xml:space="preserve"> CAL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Компоненти людського походження були перевірені і виявлено негативні на наявність HBsAg, HCV та антитіл до ВІЛ (1/2). Однак поводьтеся з ними обережно, оскільки вони потенційно інфекційні.</w:t>
      </w:r>
    </w:p>
    <w:p w:rsidR="00420E94" w:rsidRPr="008F2005" w:rsidRDefault="00420E94" w:rsidP="00DB72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8F2005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</w:p>
    <w:p w:rsidR="00907183" w:rsidRPr="008F2005" w:rsidRDefault="00907183" w:rsidP="009071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bookmarkStart w:id="2" w:name="bookmark26"/>
    </w:p>
    <w:p w:rsidR="00CA4916" w:rsidRPr="008F2005" w:rsidRDefault="00CA4916" w:rsidP="00CA49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R 1 і R 2: готові до використання.</w:t>
      </w:r>
    </w:p>
    <w:p w:rsidR="00CA4916" w:rsidRPr="008F2005" w:rsidRDefault="00CA4916" w:rsidP="00CA49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8F2005">
        <w:rPr>
          <w:rFonts w:ascii="Times New Roman" w:hAnsi="Times New Roman" w:cs="Times New Roman"/>
          <w:sz w:val="18"/>
          <w:szCs w:val="18"/>
          <w:lang w:val="uk-UA"/>
        </w:rPr>
        <w:t>HDLc</w:t>
      </w:r>
      <w:proofErr w:type="spellEnd"/>
      <w:r w:rsidRPr="008F2005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Pr="008F2005">
        <w:rPr>
          <w:rFonts w:ascii="Times New Roman" w:hAnsi="Times New Roman" w:cs="Times New Roman"/>
          <w:sz w:val="18"/>
          <w:szCs w:val="18"/>
          <w:lang w:val="uk-UA"/>
        </w:rPr>
        <w:t>LDLc</w:t>
      </w:r>
      <w:proofErr w:type="spellEnd"/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CAL: розчиніть вміст 1 мл дистильованої води. Закрийте флакон і обережно перемішайте, щоб вміст розчинився.</w:t>
      </w:r>
    </w:p>
    <w:p w:rsidR="00CA4916" w:rsidRPr="008F2005" w:rsidRDefault="00CA4916" w:rsidP="00907183">
      <w:pPr>
        <w:spacing w:after="0" w:line="240" w:lineRule="auto"/>
        <w:jc w:val="both"/>
        <w:rPr>
          <w:rFonts w:ascii="Times New Roman" w:eastAsia="Tahoma" w:hAnsi="Times New Roman" w:cs="Times New Roman"/>
          <w:sz w:val="18"/>
          <w:szCs w:val="18"/>
          <w:lang w:val="uk-UA"/>
        </w:rPr>
      </w:pPr>
    </w:p>
    <w:p w:rsidR="00185EFF" w:rsidRPr="008F2005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vertAlign w:val="superscript"/>
          <w:lang w:val="uk-UA"/>
        </w:rPr>
      </w:pPr>
      <w:r w:rsidRPr="008F2005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8F2005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СТЬ</w:t>
      </w:r>
      <w:r w:rsidR="008830A5" w:rsidRPr="008F2005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bookmarkEnd w:id="2"/>
    <w:p w:rsidR="00D96D4B" w:rsidRPr="008F2005" w:rsidRDefault="006E746B" w:rsidP="00D96D4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CA4916" w:rsidRPr="008F2005" w:rsidRDefault="00CA4916" w:rsidP="00133234">
      <w:pPr>
        <w:pStyle w:val="20"/>
        <w:numPr>
          <w:ilvl w:val="0"/>
          <w:numId w:val="10"/>
        </w:numPr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місцях при температурі 2-8°C та запобігають забрудненню під час їх використання. Не заморожуйте реагенти.</w:t>
      </w:r>
    </w:p>
    <w:p w:rsidR="00CA4916" w:rsidRPr="008F2005" w:rsidRDefault="00CA4916" w:rsidP="00133234">
      <w:pPr>
        <w:pStyle w:val="20"/>
        <w:numPr>
          <w:ilvl w:val="0"/>
          <w:numId w:val="10"/>
        </w:numPr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HDLc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LDLc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CAL: після відновлення 30 годин при 20-25°C, 2 тижні при 2-8°C або 3 місяці при -20°C.</w:t>
      </w:r>
    </w:p>
    <w:p w:rsidR="00CA4916" w:rsidRPr="008F2005" w:rsidRDefault="00CA4916" w:rsidP="00133234">
      <w:pPr>
        <w:pStyle w:val="20"/>
        <w:numPr>
          <w:ilvl w:val="0"/>
          <w:numId w:val="10"/>
        </w:numPr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реактиви після закінчення терміну придатності.</w:t>
      </w:r>
    </w:p>
    <w:p w:rsidR="00CA4916" w:rsidRPr="008F2005" w:rsidRDefault="00CA4916" w:rsidP="00133234">
      <w:pPr>
        <w:pStyle w:val="20"/>
        <w:numPr>
          <w:ilvl w:val="0"/>
          <w:numId w:val="10"/>
        </w:numPr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>Ознаки псування реагенту:</w:t>
      </w:r>
    </w:p>
    <w:p w:rsidR="00D96D4B" w:rsidRPr="008F2005" w:rsidRDefault="00CA4916" w:rsidP="008830A5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Наявність частинок і помутніння</w:t>
      </w:r>
      <w:r w:rsidR="008D7998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5E64A1" w:rsidRPr="008F2005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8F2005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</w:t>
      </w:r>
      <w:r w:rsidR="006E746B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33234" w:rsidRPr="008F2005" w:rsidRDefault="00133234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185EFF" w:rsidRPr="008F2005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281DB7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Спектрофотометр </w:t>
      </w:r>
      <w:r w:rsidR="000F7011" w:rsidRPr="008F2005">
        <w:rPr>
          <w:rFonts w:ascii="Times New Roman" w:hAnsi="Times New Roman" w:cs="Times New Roman"/>
          <w:sz w:val="18"/>
          <w:szCs w:val="18"/>
          <w:lang w:val="uk-UA"/>
        </w:rPr>
        <w:t>або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колориметр, </w:t>
      </w:r>
      <w:r w:rsidR="000F7011" w:rsidRPr="008F2005">
        <w:rPr>
          <w:rFonts w:ascii="Times New Roman" w:hAnsi="Times New Roman" w:cs="Times New Roman"/>
          <w:sz w:val="18"/>
          <w:szCs w:val="18"/>
          <w:lang w:val="uk-UA"/>
        </w:rPr>
        <w:t>що вимірює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при</w:t>
      </w:r>
      <w:r w:rsidR="00AD6BD5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A4916" w:rsidRPr="008F2005">
        <w:rPr>
          <w:rFonts w:ascii="Times New Roman" w:hAnsi="Times New Roman" w:cs="Times New Roman"/>
          <w:sz w:val="18"/>
          <w:szCs w:val="18"/>
          <w:lang w:val="uk-UA"/>
        </w:rPr>
        <w:t>570</w:t>
      </w:r>
      <w:r w:rsidR="00934FAA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>нм.</w:t>
      </w:r>
    </w:p>
    <w:p w:rsidR="00185EFF" w:rsidRPr="008F2005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8F2005">
        <w:rPr>
          <w:rFonts w:ascii="Times New Roman" w:hAnsi="Times New Roman" w:cs="Times New Roman"/>
          <w:sz w:val="18"/>
          <w:szCs w:val="18"/>
          <w:lang w:val="uk-UA"/>
        </w:rPr>
        <w:t>Відповідні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кювет</w:t>
      </w:r>
      <w:r w:rsidR="000F7011" w:rsidRPr="008F2005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0F7011" w:rsidRPr="008F2005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д</w:t>
      </w:r>
      <w:r w:rsidR="000F7011" w:rsidRPr="008F2005">
        <w:rPr>
          <w:rFonts w:ascii="Times New Roman" w:hAnsi="Times New Roman" w:cs="Times New Roman"/>
          <w:sz w:val="18"/>
          <w:szCs w:val="18"/>
          <w:lang w:val="uk-UA"/>
        </w:rPr>
        <w:t>овжиною світового шляху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1,0 см.</w:t>
      </w:r>
    </w:p>
    <w:p w:rsidR="00933624" w:rsidRPr="008F2005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8F2005">
        <w:rPr>
          <w:rFonts w:ascii="Times New Roman" w:hAnsi="Times New Roman" w:cs="Times New Roman"/>
          <w:sz w:val="18"/>
          <w:szCs w:val="18"/>
          <w:lang w:val="uk-UA"/>
        </w:rPr>
        <w:t>Загальне лабораторн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>е об</w:t>
      </w:r>
      <w:r w:rsidR="000F7011" w:rsidRPr="008F2005">
        <w:rPr>
          <w:rFonts w:ascii="Times New Roman" w:hAnsi="Times New Roman" w:cs="Times New Roman"/>
          <w:sz w:val="18"/>
          <w:szCs w:val="18"/>
          <w:lang w:val="uk-UA"/>
        </w:rPr>
        <w:t>ладнання</w:t>
      </w:r>
      <w:r w:rsidR="00CA4916" w:rsidRPr="008F2005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133234" w:rsidRPr="008F2005" w:rsidRDefault="001332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8F2005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133234" w:rsidRPr="008F2005" w:rsidRDefault="00133234" w:rsidP="00CA4916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</w:p>
    <w:p w:rsidR="00CA4916" w:rsidRPr="008F2005" w:rsidRDefault="00CA4916" w:rsidP="00CA4916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Сироватка, 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гепаринізована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плазма або плазма EDTA. Якщо будь-які зразки показують осад, центрифугувати перед використанням.</w:t>
      </w:r>
    </w:p>
    <w:p w:rsidR="00CA4916" w:rsidRPr="008F2005" w:rsidRDefault="00CA4916" w:rsidP="00CA4916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Стабільність зразка: 6 днів при 2-8°C і 1 рік </w:t>
      </w:r>
      <w:r w:rsidR="008830A5"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за умови зберігання </w:t>
      </w:r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при -70°C.</w:t>
      </w:r>
    </w:p>
    <w:p w:rsidR="00CA4916" w:rsidRPr="008F2005" w:rsidRDefault="00CA4916" w:rsidP="00CA4916">
      <w:pPr>
        <w:spacing w:after="0" w:line="240" w:lineRule="auto"/>
        <w:jc w:val="both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</w:p>
    <w:p w:rsidR="00933624" w:rsidRPr="008F2005" w:rsidRDefault="008D7998" w:rsidP="00126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</w:t>
      </w:r>
      <w:r w:rsidR="006E746B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РОЦЕДУРА АНАЛІЗУ</w:t>
      </w:r>
    </w:p>
    <w:p w:rsidR="00133234" w:rsidRPr="008F2005" w:rsidRDefault="00133234" w:rsidP="00133234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96D4B" w:rsidRPr="008F2005" w:rsidRDefault="008D7998" w:rsidP="00133234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</w:t>
      </w:r>
      <w:r w:rsidR="00D96D4B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6075E4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………………….</w:t>
      </w:r>
      <w:r w:rsidR="008830A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550-6</w:t>
      </w:r>
      <w:r w:rsidR="00934FAA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</w:t>
      </w:r>
      <w:r w:rsidR="001603C8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</w:t>
      </w:r>
      <w:r w:rsidR="00D96D4B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нм</w:t>
      </w:r>
    </w:p>
    <w:p w:rsidR="00D96D4B" w:rsidRPr="008F2005" w:rsidRDefault="008D7998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Кювета:  …………………….</w:t>
      </w:r>
      <w:r w:rsidR="00D96D4B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1 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см світлов</w:t>
      </w:r>
      <w:r w:rsidR="00126708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 шляху</w:t>
      </w:r>
    </w:p>
    <w:p w:rsidR="00D96D4B" w:rsidRPr="008F2005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</w:t>
      </w:r>
      <w:r w:rsidR="006075E4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емпература</w:t>
      </w:r>
      <w:r w:rsidR="00D104E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D104E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8830A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37°C.</w:t>
      </w:r>
    </w:p>
    <w:p w:rsidR="008D7998" w:rsidRPr="008F2005" w:rsidRDefault="008D7998" w:rsidP="00133234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Налаштуйте прилад на нуль </w:t>
      </w:r>
      <w:r w:rsidR="008830A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дистильованою водою.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933624" w:rsidRPr="008F2005" w:rsidRDefault="008D7998" w:rsidP="00133234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Додайте піпеткою в кювету</w:t>
      </w:r>
      <w:r w:rsidR="00C457FE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C457FE" w:rsidRPr="008F2005" w:rsidRDefault="00C457FE" w:rsidP="00C457F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C457FE" w:rsidRPr="008F2005" w:rsidRDefault="00C457FE" w:rsidP="00C457F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107"/>
        <w:gridCol w:w="1105"/>
        <w:gridCol w:w="963"/>
      </w:tblGrid>
      <w:tr w:rsidR="00420E94" w:rsidRPr="008F2005" w:rsidTr="00420E94">
        <w:tc>
          <w:tcPr>
            <w:tcW w:w="1704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07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105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963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420E94" w:rsidRPr="008F2005" w:rsidTr="00420E94">
        <w:tc>
          <w:tcPr>
            <w:tcW w:w="1704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R </w:t>
            </w:r>
            <w:r w:rsidR="008830A5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 м</w:t>
            </w:r>
            <w:r w:rsidR="008830A5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л)</w:t>
            </w:r>
          </w:p>
        </w:tc>
        <w:tc>
          <w:tcPr>
            <w:tcW w:w="1107" w:type="dxa"/>
          </w:tcPr>
          <w:p w:rsidR="00420E94" w:rsidRPr="008F2005" w:rsidRDefault="008830A5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  <w:tc>
          <w:tcPr>
            <w:tcW w:w="1105" w:type="dxa"/>
          </w:tcPr>
          <w:p w:rsidR="00420E94" w:rsidRPr="008F2005" w:rsidRDefault="008830A5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  <w:tc>
          <w:tcPr>
            <w:tcW w:w="963" w:type="dxa"/>
          </w:tcPr>
          <w:p w:rsidR="00420E94" w:rsidRPr="008F2005" w:rsidRDefault="008830A5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</w:tr>
      <w:tr w:rsidR="00420E94" w:rsidRPr="008F2005" w:rsidTr="00420E94">
        <w:trPr>
          <w:trHeight w:val="291"/>
        </w:trPr>
        <w:tc>
          <w:tcPr>
            <w:tcW w:w="1704" w:type="dxa"/>
          </w:tcPr>
          <w:p w:rsidR="00420E94" w:rsidRPr="008F2005" w:rsidRDefault="00B77C82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Калібратор </w:t>
            </w:r>
            <w:r w:rsidR="00934FAA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934FAA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мкл</w:t>
            </w: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107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420E94" w:rsidRPr="008F2005" w:rsidRDefault="008830A5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63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420E94" w:rsidRPr="008F2005" w:rsidTr="00420E94">
        <w:tc>
          <w:tcPr>
            <w:tcW w:w="1704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1107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420E94" w:rsidRPr="008F2005" w:rsidRDefault="00420E94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63" w:type="dxa"/>
          </w:tcPr>
          <w:p w:rsidR="00420E94" w:rsidRPr="008F2005" w:rsidRDefault="008830A5" w:rsidP="001603C8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</w:tr>
    </w:tbl>
    <w:p w:rsidR="00D96D4B" w:rsidRPr="008F2005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830A5" w:rsidRPr="008F2005" w:rsidRDefault="0071458E" w:rsidP="008D7998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eastAsia="Arial Unicode MS" w:hAnsi="Times New Roman" w:cs="Times New Roman"/>
          <w:color w:val="000000"/>
          <w:spacing w:val="-3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Змішайте та </w:t>
      </w:r>
      <w:r w:rsidR="00D104E5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інкубуйте протягом </w:t>
      </w:r>
      <w:r w:rsidR="00420E94" w:rsidRPr="008F2005">
        <w:rPr>
          <w:rFonts w:ascii="Times New Roman" w:hAnsi="Times New Roman" w:cs="Times New Roman"/>
          <w:sz w:val="18"/>
          <w:szCs w:val="18"/>
          <w:lang w:val="uk-UA"/>
        </w:rPr>
        <w:t>5</w:t>
      </w:r>
      <w:r w:rsidR="00D104E5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хвилин</w:t>
      </w:r>
      <w:r w:rsidR="00420E94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="00420E94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37°C </w:t>
      </w:r>
      <w:r w:rsidR="008830A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та </w:t>
      </w:r>
      <w:r w:rsidR="008830A5" w:rsidRPr="008F2005">
        <w:rPr>
          <w:rFonts w:ascii="Times New Roman" w:hAnsi="Times New Roman" w:cs="Times New Roman"/>
          <w:sz w:val="18"/>
          <w:szCs w:val="18"/>
          <w:lang w:val="uk-UA"/>
        </w:rPr>
        <w:lastRenderedPageBreak/>
        <w:t>з</w:t>
      </w:r>
      <w:r w:rsidR="00D104E5" w:rsidRPr="008F2005">
        <w:rPr>
          <w:rFonts w:ascii="Times New Roman" w:hAnsi="Times New Roman" w:cs="Times New Roman"/>
          <w:sz w:val="18"/>
          <w:szCs w:val="18"/>
          <w:lang w:val="uk-UA"/>
        </w:rPr>
        <w:t>читайте</w:t>
      </w:r>
      <w:r w:rsidR="00934FAA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72693" w:rsidRPr="008F2005">
        <w:rPr>
          <w:rFonts w:ascii="Times New Roman" w:hAnsi="Times New Roman" w:cs="Times New Roman"/>
          <w:sz w:val="18"/>
          <w:szCs w:val="18"/>
          <w:lang w:val="uk-UA"/>
        </w:rPr>
        <w:t>абсорбцію (А</w:t>
      </w:r>
      <w:r w:rsidR="008830A5" w:rsidRPr="008F2005">
        <w:rPr>
          <w:rFonts w:ascii="Times New Roman" w:hAnsi="Times New Roman" w:cs="Times New Roman"/>
          <w:sz w:val="18"/>
          <w:szCs w:val="18"/>
          <w:vertAlign w:val="subscript"/>
          <w:lang w:val="uk-UA"/>
        </w:rPr>
        <w:t>1</w:t>
      </w:r>
      <w:r w:rsidR="00372693" w:rsidRPr="008F2005">
        <w:rPr>
          <w:rFonts w:ascii="Times New Roman" w:hAnsi="Times New Roman" w:cs="Times New Roman"/>
          <w:sz w:val="18"/>
          <w:szCs w:val="18"/>
          <w:lang w:val="uk-UA"/>
        </w:rPr>
        <w:t>)</w:t>
      </w:r>
      <w:r w:rsidR="008D7998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E64A1" w:rsidRPr="008F2005">
        <w:rPr>
          <w:rFonts w:ascii="Times New Roman" w:hAnsi="Times New Roman" w:cs="Times New Roman"/>
          <w:sz w:val="18"/>
          <w:szCs w:val="18"/>
          <w:lang w:val="uk-UA"/>
        </w:rPr>
        <w:t>проби</w:t>
      </w:r>
      <w:r w:rsidR="00C27AA8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420E94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та </w:t>
      </w:r>
      <w:r w:rsidR="008830A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калібратора.</w:t>
      </w:r>
    </w:p>
    <w:p w:rsidR="008830A5" w:rsidRPr="008F2005" w:rsidRDefault="008830A5" w:rsidP="008D7998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eastAsia="Arial Unicode MS" w:hAnsi="Times New Roman" w:cs="Times New Roman"/>
          <w:color w:val="000000"/>
          <w:spacing w:val="-3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Додайте:</w:t>
      </w:r>
    </w:p>
    <w:p w:rsidR="008830A5" w:rsidRPr="008F2005" w:rsidRDefault="008830A5" w:rsidP="008830A5">
      <w:pPr>
        <w:pStyle w:val="20"/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0"/>
        <w:gridCol w:w="1220"/>
      </w:tblGrid>
      <w:tr w:rsidR="008830A5" w:rsidRPr="008F2005" w:rsidTr="008830A5">
        <w:tc>
          <w:tcPr>
            <w:tcW w:w="1219" w:type="dxa"/>
          </w:tcPr>
          <w:p w:rsidR="008830A5" w:rsidRPr="008F2005" w:rsidRDefault="008830A5" w:rsidP="008830A5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</w:p>
        </w:tc>
        <w:tc>
          <w:tcPr>
            <w:tcW w:w="1220" w:type="dxa"/>
          </w:tcPr>
          <w:p w:rsidR="008830A5" w:rsidRPr="008F2005" w:rsidRDefault="008830A5" w:rsidP="00E70FDE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220" w:type="dxa"/>
          </w:tcPr>
          <w:p w:rsidR="008830A5" w:rsidRPr="008F2005" w:rsidRDefault="008830A5" w:rsidP="00E70FDE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1220" w:type="dxa"/>
          </w:tcPr>
          <w:p w:rsidR="008830A5" w:rsidRPr="008F2005" w:rsidRDefault="008830A5" w:rsidP="00E70FDE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8830A5" w:rsidRPr="008F2005" w:rsidTr="008830A5">
        <w:tc>
          <w:tcPr>
            <w:tcW w:w="1219" w:type="dxa"/>
          </w:tcPr>
          <w:p w:rsidR="008830A5" w:rsidRPr="008F2005" w:rsidRDefault="008830A5" w:rsidP="008830A5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 2 ( мкл)</w:t>
            </w:r>
          </w:p>
        </w:tc>
        <w:tc>
          <w:tcPr>
            <w:tcW w:w="1220" w:type="dxa"/>
          </w:tcPr>
          <w:p w:rsidR="008830A5" w:rsidRPr="008F2005" w:rsidRDefault="008830A5" w:rsidP="001603C8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100</w:t>
            </w:r>
          </w:p>
        </w:tc>
        <w:tc>
          <w:tcPr>
            <w:tcW w:w="1220" w:type="dxa"/>
          </w:tcPr>
          <w:p w:rsidR="008830A5" w:rsidRPr="008F2005" w:rsidRDefault="008830A5" w:rsidP="001603C8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100</w:t>
            </w:r>
          </w:p>
        </w:tc>
        <w:tc>
          <w:tcPr>
            <w:tcW w:w="1220" w:type="dxa"/>
          </w:tcPr>
          <w:p w:rsidR="008830A5" w:rsidRPr="008F2005" w:rsidRDefault="008830A5" w:rsidP="001603C8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100</w:t>
            </w:r>
          </w:p>
        </w:tc>
      </w:tr>
    </w:tbl>
    <w:p w:rsidR="008830A5" w:rsidRPr="008F2005" w:rsidRDefault="00DB72EB" w:rsidP="008830A5">
      <w:pPr>
        <w:pStyle w:val="20"/>
        <w:shd w:val="clear" w:color="auto" w:fill="auto"/>
        <w:tabs>
          <w:tab w:val="left" w:pos="336"/>
        </w:tabs>
        <w:spacing w:after="0" w:line="240" w:lineRule="auto"/>
        <w:ind w:firstLine="0"/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w:r w:rsidRPr="008F2005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  <w:r w:rsidRPr="008F2005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</w:p>
    <w:p w:rsidR="008830A5" w:rsidRPr="008F2005" w:rsidRDefault="008830A5" w:rsidP="00133234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Змішайте та інкубуйте протягом 5 хв. при 37°C і зчитуйте абсорбцію (A</w:t>
      </w:r>
      <w:r w:rsidRPr="008F2005">
        <w:rPr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) </w:t>
      </w:r>
      <w:r w:rsidR="00B77C82" w:rsidRPr="008F2005">
        <w:rPr>
          <w:rFonts w:ascii="Times New Roman" w:hAnsi="Times New Roman" w:cs="Times New Roman"/>
          <w:sz w:val="18"/>
          <w:szCs w:val="18"/>
          <w:lang w:val="uk-UA"/>
        </w:rPr>
        <w:t>проби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і калібратора </w:t>
      </w:r>
      <w:r w:rsidR="00B77C82" w:rsidRPr="008F2005">
        <w:rPr>
          <w:rFonts w:ascii="Times New Roman" w:hAnsi="Times New Roman" w:cs="Times New Roman"/>
          <w:sz w:val="18"/>
          <w:szCs w:val="18"/>
          <w:lang w:val="uk-UA"/>
        </w:rPr>
        <w:t>у порівнянні з пустим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>.</w:t>
      </w:r>
    </w:p>
    <w:bookmarkEnd w:id="0"/>
    <w:p w:rsidR="00DB72EB" w:rsidRPr="008F2005" w:rsidRDefault="00133234" w:rsidP="008830A5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133234" w:rsidRPr="008F2005" w:rsidRDefault="00133234" w:rsidP="00133234">
      <w:pPr>
        <w:pStyle w:val="20"/>
        <w:shd w:val="clear" w:color="auto" w:fill="auto"/>
        <w:tabs>
          <w:tab w:val="left" w:pos="336"/>
        </w:tabs>
        <w:spacing w:after="0" w:line="240" w:lineRule="auto"/>
        <w:ind w:firstLine="0"/>
        <w:rPr>
          <w:rStyle w:val="10"/>
          <w:rFonts w:ascii="Times New Roman" w:eastAsia="Tahoma" w:hAnsi="Times New Roman" w:cs="Times New Roman"/>
          <w:color w:val="auto"/>
          <w:spacing w:val="0"/>
          <w:sz w:val="18"/>
          <w:szCs w:val="18"/>
          <w:lang w:val="uk-UA" w:bidi="ar-SA"/>
        </w:rPr>
      </w:pPr>
    </w:p>
    <w:p w:rsidR="00DB72EB" w:rsidRPr="008F2005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</w:t>
      </w:r>
      <w:r w:rsidR="006E746B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642C57" w:rsidRPr="008F2005" w:rsidRDefault="004F01E2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m:oMath>
        <m:f>
          <m:f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А2-А1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Проба-</m:t>
            </m:r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А2-А1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Пустий</m:t>
            </m:r>
          </m:num>
          <m:den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А2-А1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Калібратор-</m:t>
            </m:r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А2-А1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Пустий</m:t>
            </m:r>
          </m:den>
        </m:f>
      </m:oMath>
      <w:r w:rsidR="00B77C82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х</w:t>
      </w:r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r w:rsidR="00B77C82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(</w:t>
      </w:r>
      <w:proofErr w:type="spellStart"/>
      <w:r w:rsidR="00B77C82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калібратор</w:t>
      </w:r>
      <w:proofErr w:type="spellEnd"/>
      <w:r w:rsidR="00B77C82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proofErr w:type="spellStart"/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конц</w:t>
      </w:r>
      <w:proofErr w:type="spellEnd"/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.)</w:t>
      </w:r>
      <w:r w:rsidR="00B77C82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=</w:t>
      </w:r>
      <w:r w:rsidR="00B77C82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мг/</w:t>
      </w:r>
      <w:proofErr w:type="spellStart"/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дл</w:t>
      </w:r>
      <w:proofErr w:type="spellEnd"/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r w:rsidR="00B77C82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HDL</w:t>
      </w:r>
      <w:r w:rsidR="00B77C82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холестер</w:t>
      </w:r>
      <w:r w:rsidR="00B77C82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ину</w:t>
      </w:r>
      <w:r w:rsidR="00126708" w:rsidRPr="008F2005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. у пробі</w:t>
      </w:r>
    </w:p>
    <w:p w:rsidR="00126708" w:rsidRPr="008F2005" w:rsidRDefault="00126708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</w:p>
    <w:p w:rsidR="00372693" w:rsidRPr="008F2005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Кое</w:t>
      </w:r>
      <w:r w:rsidR="00B77C82" w:rsidRPr="008F2005">
        <w:rPr>
          <w:rFonts w:ascii="Times New Roman" w:hAnsi="Times New Roman" w:cs="Times New Roman"/>
          <w:sz w:val="18"/>
          <w:szCs w:val="18"/>
          <w:lang w:val="uk-UA"/>
        </w:rPr>
        <w:t>фіцієнти перерахунку</w:t>
      </w:r>
      <w:r w:rsidR="00D726C7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934FAA" w:rsidRPr="008F2005">
        <w:rPr>
          <w:rFonts w:ascii="Times New Roman" w:hAnsi="Times New Roman" w:cs="Times New Roman"/>
          <w:sz w:val="18"/>
          <w:szCs w:val="18"/>
          <w:lang w:val="uk-UA"/>
        </w:rPr>
        <w:t>мг</w:t>
      </w:r>
      <w:r w:rsidR="008D7998" w:rsidRPr="008F2005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934FAA" w:rsidRPr="008F2005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D726C7" w:rsidRPr="008F2005">
        <w:rPr>
          <w:rFonts w:ascii="Times New Roman" w:hAnsi="Times New Roman" w:cs="Times New Roman"/>
          <w:sz w:val="18"/>
          <w:szCs w:val="18"/>
          <w:lang w:val="uk-UA"/>
        </w:rPr>
        <w:t>л</w:t>
      </w:r>
      <w:r w:rsidR="00B77C82" w:rsidRPr="008F2005">
        <w:rPr>
          <w:rFonts w:ascii="Times New Roman" w:hAnsi="Times New Roman" w:cs="Times New Roman"/>
          <w:sz w:val="18"/>
          <w:szCs w:val="18"/>
          <w:lang w:val="uk-UA"/>
        </w:rPr>
        <w:t>х0,0259</w:t>
      </w:r>
      <w:r w:rsidR="00D726C7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= м</w:t>
      </w:r>
      <w:r w:rsidR="00934FAA" w:rsidRPr="008F2005">
        <w:rPr>
          <w:rFonts w:ascii="Times New Roman" w:hAnsi="Times New Roman" w:cs="Times New Roman"/>
          <w:sz w:val="18"/>
          <w:szCs w:val="18"/>
          <w:lang w:val="uk-UA"/>
        </w:rPr>
        <w:t>моль</w:t>
      </w:r>
      <w:r w:rsidR="008D7998" w:rsidRPr="008F2005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D726C7" w:rsidRPr="008F2005">
        <w:rPr>
          <w:rFonts w:ascii="Times New Roman" w:hAnsi="Times New Roman" w:cs="Times New Roman"/>
          <w:sz w:val="18"/>
          <w:szCs w:val="18"/>
          <w:lang w:val="uk-UA"/>
        </w:rPr>
        <w:t>л</w:t>
      </w:r>
    </w:p>
    <w:p w:rsidR="00372693" w:rsidRPr="008F2005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</w:p>
    <w:p w:rsidR="00933624" w:rsidRPr="008F2005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8D7998" w:rsidRPr="008F2005" w:rsidRDefault="008D7998" w:rsidP="0059081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C94EAC" w:rsidRPr="008F2005" w:rsidRDefault="00C94EAC" w:rsidP="00C94EAC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Контролювання сироваток рекомендуються для контролю ефективності процедур аналізу:</w:t>
      </w:r>
    </w:p>
    <w:p w:rsidR="00C94EAC" w:rsidRPr="008F2005" w:rsidRDefault="00126708" w:rsidP="00C94EAC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C94EAC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Нормальний і патологічний </w:t>
      </w:r>
      <w:r w:rsidR="00C94EAC" w:rsidRPr="008F2005">
        <w:rPr>
          <w:rFonts w:ascii="Times New Roman" w:hAnsi="Times New Roman" w:cs="Times New Roman"/>
          <w:caps/>
          <w:sz w:val="18"/>
          <w:szCs w:val="18"/>
          <w:lang w:val="uk-UA"/>
        </w:rPr>
        <w:t>контроль</w:t>
      </w:r>
      <w:r w:rsidR="00C94EAC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(MO-165107 і MO-165108).</w:t>
      </w:r>
    </w:p>
    <w:p w:rsidR="00C94EAC" w:rsidRPr="008F2005" w:rsidRDefault="00C94EAC" w:rsidP="00C94EAC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C94EAC" w:rsidRPr="008F2005" w:rsidRDefault="00C94EAC" w:rsidP="00C94EAC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8F2005" w:rsidRDefault="0071458E" w:rsidP="00F83D84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133234" w:rsidRPr="008F2005" w:rsidRDefault="00133234" w:rsidP="00F83D84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8F2005" w:rsidRDefault="00133234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1819AA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9081E" w:rsidRPr="008F2005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443"/>
        <w:gridCol w:w="1627"/>
      </w:tblGrid>
      <w:tr w:rsidR="00B77C82" w:rsidRPr="008F2005" w:rsidTr="00B77C82">
        <w:tc>
          <w:tcPr>
            <w:tcW w:w="1809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</w:p>
        </w:tc>
        <w:tc>
          <w:tcPr>
            <w:tcW w:w="1443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Чоловік</w:t>
            </w:r>
          </w:p>
        </w:tc>
        <w:tc>
          <w:tcPr>
            <w:tcW w:w="1627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Жінка</w:t>
            </w:r>
          </w:p>
        </w:tc>
      </w:tr>
      <w:tr w:rsidR="00B77C82" w:rsidRPr="008F2005" w:rsidTr="00B77C82">
        <w:tc>
          <w:tcPr>
            <w:tcW w:w="1809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Низький ризик</w:t>
            </w:r>
          </w:p>
        </w:tc>
        <w:tc>
          <w:tcPr>
            <w:tcW w:w="1443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&gt; 50 мг/</w:t>
            </w:r>
            <w:proofErr w:type="spellStart"/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627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&gt; 60 мг/</w:t>
            </w:r>
            <w:proofErr w:type="spellStart"/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</w:tr>
      <w:tr w:rsidR="00B77C82" w:rsidRPr="008F2005" w:rsidTr="00B77C82">
        <w:tc>
          <w:tcPr>
            <w:tcW w:w="1809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Нормальний ризик</w:t>
            </w:r>
          </w:p>
        </w:tc>
        <w:tc>
          <w:tcPr>
            <w:tcW w:w="1443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35-50 мг/</w:t>
            </w:r>
            <w:proofErr w:type="spellStart"/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627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45-60 мг/</w:t>
            </w:r>
            <w:proofErr w:type="spellStart"/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</w:tr>
      <w:tr w:rsidR="00B77C82" w:rsidRPr="008F2005" w:rsidTr="00B77C82">
        <w:tc>
          <w:tcPr>
            <w:tcW w:w="1809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Високий ризик</w:t>
            </w:r>
          </w:p>
        </w:tc>
        <w:tc>
          <w:tcPr>
            <w:tcW w:w="1443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&lt; 35 мг/</w:t>
            </w:r>
            <w:proofErr w:type="spellStart"/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627" w:type="dxa"/>
          </w:tcPr>
          <w:p w:rsidR="00B77C82" w:rsidRPr="008F2005" w:rsidRDefault="00B77C82" w:rsidP="00B77C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&lt; 45 мг/</w:t>
            </w:r>
            <w:proofErr w:type="spellStart"/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</w:tr>
    </w:tbl>
    <w:p w:rsidR="00B77C82" w:rsidRPr="008F2005" w:rsidRDefault="00B77C82" w:rsidP="00C94EA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C94EAC" w:rsidRPr="008F2005" w:rsidRDefault="00C94EAC" w:rsidP="00C94EA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8F2005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8F2005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701662" w:rsidRPr="008F2005" w:rsidRDefault="00701662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</w:p>
    <w:p w:rsidR="007C675A" w:rsidRPr="008F2005" w:rsidRDefault="00C94EAC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8F2005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133B53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вимірювання</w:t>
      </w:r>
      <w:r w:rsidR="007C675A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B77C82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5,0</w:t>
      </w:r>
      <w:r w:rsidR="00642C57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33B53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мг/</w:t>
      </w:r>
      <w:proofErr w:type="spellStart"/>
      <w:r w:rsidR="0059081E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F83D84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33B53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B77C82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151</w:t>
      </w:r>
      <w:r w:rsidR="00133B53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мг/</w:t>
      </w:r>
      <w:proofErr w:type="spellStart"/>
      <w:r w:rsidR="0059081E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B77C82" w:rsidRPr="008F2005" w:rsidRDefault="00133B5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  <w:t>Якщо концентрація перевищує границю лінійності, розбавте зразок 1/2 NaCl 9 г/л і помножте результат на 2.</w:t>
      </w:r>
    </w:p>
    <w:p w:rsidR="00B77C82" w:rsidRPr="008F2005" w:rsidRDefault="00B77C82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7C675A" w:rsidRPr="008F2005" w:rsidRDefault="00133B5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8F2005" w:rsidTr="001819AA">
        <w:tc>
          <w:tcPr>
            <w:tcW w:w="2160" w:type="dxa"/>
          </w:tcPr>
          <w:p w:rsidR="007C675A" w:rsidRPr="008F2005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8F2005" w:rsidRDefault="00BA361E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процедури</w:t>
            </w:r>
            <w:r w:rsidR="007C675A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8F2005" w:rsidRDefault="00BA361E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 процедурами</w:t>
            </w:r>
          </w:p>
          <w:p w:rsidR="007C675A" w:rsidRPr="008F2005" w:rsidRDefault="007C675A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8F2005" w:rsidTr="001819AA">
        <w:tc>
          <w:tcPr>
            <w:tcW w:w="2160" w:type="dxa"/>
          </w:tcPr>
          <w:p w:rsidR="007C675A" w:rsidRPr="008F2005" w:rsidRDefault="00F83D84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Значення (</w:t>
            </w:r>
            <w:r w:rsidR="00D726C7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="00133B53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г/</w:t>
            </w:r>
            <w:proofErr w:type="spellStart"/>
            <w:r w:rsidR="0059081E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</w:t>
            </w:r>
            <w:r w:rsidR="007C4136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  <w:proofErr w:type="spellEnd"/>
            <w:r w:rsidR="007C675A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8F2005" w:rsidRDefault="00B77C82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28,0</w:t>
            </w:r>
          </w:p>
        </w:tc>
        <w:tc>
          <w:tcPr>
            <w:tcW w:w="731" w:type="dxa"/>
          </w:tcPr>
          <w:p w:rsidR="007C675A" w:rsidRPr="008F2005" w:rsidRDefault="0088758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</w:t>
            </w: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softHyphen/>
              <w:t>,1</w:t>
            </w:r>
          </w:p>
        </w:tc>
        <w:tc>
          <w:tcPr>
            <w:tcW w:w="606" w:type="dxa"/>
          </w:tcPr>
          <w:p w:rsidR="007C675A" w:rsidRPr="008F2005" w:rsidRDefault="00887585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27,5</w:t>
            </w:r>
          </w:p>
        </w:tc>
        <w:tc>
          <w:tcPr>
            <w:tcW w:w="842" w:type="dxa"/>
          </w:tcPr>
          <w:p w:rsidR="007C675A" w:rsidRPr="008F2005" w:rsidRDefault="0088758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75,3</w:t>
            </w:r>
          </w:p>
        </w:tc>
      </w:tr>
      <w:tr w:rsidR="007C675A" w:rsidRPr="008F2005" w:rsidTr="001819AA">
        <w:tc>
          <w:tcPr>
            <w:tcW w:w="2160" w:type="dxa"/>
          </w:tcPr>
          <w:p w:rsidR="007C675A" w:rsidRPr="008F2005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8F2005" w:rsidRDefault="00887585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0,25</w:t>
            </w:r>
          </w:p>
        </w:tc>
        <w:tc>
          <w:tcPr>
            <w:tcW w:w="731" w:type="dxa"/>
          </w:tcPr>
          <w:p w:rsidR="007C675A" w:rsidRPr="008F2005" w:rsidRDefault="0088758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0,81</w:t>
            </w:r>
          </w:p>
        </w:tc>
        <w:tc>
          <w:tcPr>
            <w:tcW w:w="606" w:type="dxa"/>
          </w:tcPr>
          <w:p w:rsidR="007C675A" w:rsidRPr="008F2005" w:rsidRDefault="0088758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1,26</w:t>
            </w:r>
          </w:p>
        </w:tc>
        <w:tc>
          <w:tcPr>
            <w:tcW w:w="842" w:type="dxa"/>
          </w:tcPr>
          <w:p w:rsidR="007C675A" w:rsidRPr="008F2005" w:rsidRDefault="00887585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2,04</w:t>
            </w:r>
          </w:p>
        </w:tc>
      </w:tr>
      <w:tr w:rsidR="007C675A" w:rsidRPr="008F2005" w:rsidTr="001819AA">
        <w:tc>
          <w:tcPr>
            <w:tcW w:w="2160" w:type="dxa"/>
          </w:tcPr>
          <w:p w:rsidR="007C675A" w:rsidRPr="008F2005" w:rsidRDefault="00133B5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8F2005" w:rsidRDefault="0088758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0,89</w:t>
            </w:r>
          </w:p>
        </w:tc>
        <w:tc>
          <w:tcPr>
            <w:tcW w:w="731" w:type="dxa"/>
          </w:tcPr>
          <w:p w:rsidR="007C675A" w:rsidRPr="008F2005" w:rsidRDefault="00887585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1,06</w:t>
            </w:r>
          </w:p>
        </w:tc>
        <w:tc>
          <w:tcPr>
            <w:tcW w:w="606" w:type="dxa"/>
          </w:tcPr>
          <w:p w:rsidR="007C675A" w:rsidRPr="008F2005" w:rsidRDefault="00887585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4,60</w:t>
            </w:r>
          </w:p>
        </w:tc>
        <w:tc>
          <w:tcPr>
            <w:tcW w:w="842" w:type="dxa"/>
          </w:tcPr>
          <w:p w:rsidR="007C675A" w:rsidRPr="008F2005" w:rsidRDefault="00887585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2,71</w:t>
            </w:r>
          </w:p>
        </w:tc>
      </w:tr>
    </w:tbl>
    <w:p w:rsidR="00B61347" w:rsidRPr="008F2005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8F2005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8F2005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D726C7" w:rsidRPr="008F2005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59081E" w:rsidRPr="008F2005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BA361E" w:rsidRPr="008F2005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59081E" w:rsidRPr="008F2005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BF4346" w:rsidRPr="008F2005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F83D84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=0,0</w:t>
      </w:r>
      <w:r w:rsidR="00BF4346" w:rsidRPr="008F2005">
        <w:rPr>
          <w:rFonts w:ascii="Times New Roman" w:hAnsi="Times New Roman" w:cs="Times New Roman"/>
          <w:sz w:val="18"/>
          <w:szCs w:val="18"/>
          <w:lang w:val="uk-UA"/>
        </w:rPr>
        <w:t>0</w:t>
      </w:r>
      <w:r w:rsidR="00887585" w:rsidRPr="008F2005">
        <w:rPr>
          <w:rFonts w:ascii="Times New Roman" w:hAnsi="Times New Roman" w:cs="Times New Roman"/>
          <w:sz w:val="18"/>
          <w:szCs w:val="18"/>
          <w:lang w:val="uk-UA"/>
        </w:rPr>
        <w:t>1399</w:t>
      </w:r>
      <w:r w:rsidR="00D726C7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9081E" w:rsidRPr="008F2005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7C675A" w:rsidRPr="008F2005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59081E" w:rsidRPr="008F2005">
        <w:rPr>
          <w:rFonts w:ascii="Times New Roman" w:hAnsi="Times New Roman" w:cs="Times New Roman"/>
          <w:sz w:val="18"/>
          <w:szCs w:val="18"/>
          <w:lang w:val="uk-UA"/>
        </w:rPr>
        <w:t>)</w:t>
      </w:r>
      <w:r w:rsidR="00C27AA8" w:rsidRPr="008F2005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B23475" w:rsidRPr="008F2005" w:rsidRDefault="00BA361E" w:rsidP="00B23475">
      <w:pPr>
        <w:pStyle w:val="20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</w:pPr>
      <w:r w:rsidRPr="008F2005">
        <w:rPr>
          <w:rStyle w:val="23"/>
          <w:rFonts w:ascii="Times New Roman" w:hAnsi="Times New Roman" w:cs="Times New Roman"/>
          <w:sz w:val="18"/>
          <w:szCs w:val="18"/>
          <w:lang w:val="uk-UA"/>
        </w:rPr>
        <w:t>Точність</w:t>
      </w:r>
      <w:r w:rsidR="00B23475" w:rsidRPr="008F2005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: у результатах, отриманих за допомогою MonlabTest, ці реагенти не показали</w:t>
      </w:r>
    </w:p>
    <w:p w:rsidR="00B23475" w:rsidRPr="008F2005" w:rsidRDefault="00B23475" w:rsidP="00B23475">
      <w:pPr>
        <w:pStyle w:val="20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</w:pPr>
      <w:r w:rsidRPr="008F2005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систематичні відмінності в порівнянні з іншими комерційними реагентами або методом HPLC..</w:t>
      </w:r>
    </w:p>
    <w:p w:rsidR="00B23475" w:rsidRPr="008F2005" w:rsidRDefault="00B23475" w:rsidP="00B2347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Результати, отримані за допомогою 50 зразків, були такими</w:t>
      </w:r>
      <w:r w:rsidRPr="008F2005">
        <w:rPr>
          <w:rStyle w:val="23"/>
          <w:rFonts w:ascii="Times New Roman" w:hAnsi="Times New Roman" w:cs="Times New Roman"/>
          <w:sz w:val="18"/>
          <w:szCs w:val="18"/>
          <w:lang w:val="uk-UA"/>
        </w:rPr>
        <w:t>:</w:t>
      </w:r>
    </w:p>
    <w:p w:rsidR="004B172B" w:rsidRPr="008F2005" w:rsidRDefault="00BA361E" w:rsidP="00B2347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</w:t>
      </w:r>
      <w:r w:rsidR="004B172B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нт коре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r w:rsidR="004B172B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яції (r)</w:t>
      </w:r>
      <w:r w:rsidR="004B172B" w:rsidRPr="008F2005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3C3189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=0,9</w:t>
      </w:r>
      <w:r w:rsidR="0088758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38</w:t>
      </w:r>
    </w:p>
    <w:p w:rsidR="00EC2B33" w:rsidRPr="008F2005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3C3189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</w:t>
      </w:r>
      <w:r w:rsidR="0088758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,9825</w:t>
      </w:r>
      <w:r w:rsidR="00BA361E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</w:t>
      </w: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887585"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1,41606</w:t>
      </w:r>
    </w:p>
    <w:p w:rsidR="007C675A" w:rsidRPr="008F2005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8F2005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8F2005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BF4346" w:rsidRPr="008F2005" w:rsidRDefault="00BF4346" w:rsidP="00BF4346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</w:p>
    <w:p w:rsidR="00887585" w:rsidRPr="008F2005" w:rsidRDefault="00887585" w:rsidP="00887585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Не спостерігалося жодних впливів на рівень білірубіну до 30 мг/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, гемоглобіну до 500 мг/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ревматоїдного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фактора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до 1000 Од/мл або 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ліпемії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до 1200 мг/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BA361E" w:rsidRPr="008F2005" w:rsidRDefault="00887585" w:rsidP="00887585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Зразки 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ліпемії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з концентрацією 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тригліцеридів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&gt;1200 мг/</w:t>
      </w:r>
      <w:proofErr w:type="spellStart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8F2005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слід розбавити 1/10 NaCl 9 г/л і помножити результат на 10.</w:t>
      </w:r>
    </w:p>
    <w:p w:rsidR="00887585" w:rsidRPr="008F2005" w:rsidRDefault="00887585" w:rsidP="0088758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8F2005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D726C7" w:rsidRPr="008F2005" w:rsidRDefault="00D726C7" w:rsidP="00BF4346">
      <w:pPr>
        <w:pStyle w:val="20"/>
        <w:shd w:val="clear" w:color="auto" w:fill="auto"/>
        <w:tabs>
          <w:tab w:val="left" w:pos="359"/>
        </w:tabs>
        <w:spacing w:after="0" w:line="240" w:lineRule="auto"/>
        <w:ind w:left="720" w:firstLine="0"/>
        <w:jc w:val="left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887585" w:rsidRPr="008F2005" w:rsidRDefault="00887585" w:rsidP="0088758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1. Реактив 2 має жовтувате забарвлення через пероксидазу, але це не впливає на його функціональність.</w:t>
      </w:r>
    </w:p>
    <w:p w:rsidR="00E41777" w:rsidRPr="008F2005" w:rsidRDefault="00887585" w:rsidP="0088758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sz w:val="18"/>
          <w:szCs w:val="18"/>
          <w:lang w:val="uk-UA"/>
        </w:rPr>
        <w:t>2. MONLAB має інструкції для кількох автоматичних аналізаторів. Інструкції для багатьох з них доступні за запитом</w:t>
      </w:r>
      <w:r w:rsidR="00701662" w:rsidRPr="008F2005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887585" w:rsidRPr="008F2005" w:rsidRDefault="00887585" w:rsidP="008F20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8F2005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8F2005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887585" w:rsidRPr="008F2005" w:rsidRDefault="00887585" w:rsidP="00F03E36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887585" w:rsidRPr="008F2005" w:rsidRDefault="00887585" w:rsidP="00887585">
      <w:pPr>
        <w:widowControl w:val="0"/>
        <w:numPr>
          <w:ilvl w:val="0"/>
          <w:numId w:val="32"/>
        </w:numPr>
        <w:tabs>
          <w:tab w:val="left" w:pos="13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National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Institutes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Health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Consensus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Development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Conference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Statement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Triglyceride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High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Density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Lipoprotein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Coronary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Heart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Disease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Washington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D.C.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Feb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26-28, 1992.</w:t>
      </w:r>
    </w:p>
    <w:p w:rsidR="00887585" w:rsidRPr="008F2005" w:rsidRDefault="00887585" w:rsidP="00887585">
      <w:pPr>
        <w:widowControl w:val="0"/>
        <w:numPr>
          <w:ilvl w:val="0"/>
          <w:numId w:val="32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Izawa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S.,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Okada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M.,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Matsui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H.,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Horita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Y. J.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Medicine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Pharmaceutical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Sci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., 1385 - 1388, 37 (1997).</w:t>
      </w:r>
    </w:p>
    <w:p w:rsidR="00887585" w:rsidRPr="008F2005" w:rsidRDefault="00887585" w:rsidP="00887585">
      <w:pPr>
        <w:widowControl w:val="0"/>
        <w:numPr>
          <w:ilvl w:val="0"/>
          <w:numId w:val="32"/>
        </w:numPr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Shih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WJ,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Bachorik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PS,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Haga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JA,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Myers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GL,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Stein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EA;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Chemistry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2000; 46:3:351 - 364</w:t>
      </w:r>
    </w:p>
    <w:p w:rsidR="00887585" w:rsidRPr="008F2005" w:rsidRDefault="00887585" w:rsidP="00887585">
      <w:pPr>
        <w:widowControl w:val="0"/>
        <w:numPr>
          <w:ilvl w:val="0"/>
          <w:numId w:val="32"/>
        </w:numPr>
        <w:tabs>
          <w:tab w:val="left" w:pos="13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Third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Report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National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Cholesterol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Education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Programme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(NCEP)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Expert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Panel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Detection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Evaluation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treatment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High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Blood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Cholesterol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Adults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Adult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Treatment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Panel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III). JAMA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Publication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Vol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285,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No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 19, P2486 - 2497; 2001.</w:t>
      </w:r>
    </w:p>
    <w:p w:rsidR="00887585" w:rsidRPr="008F2005" w:rsidRDefault="00887585" w:rsidP="00887585">
      <w:pPr>
        <w:widowControl w:val="0"/>
        <w:numPr>
          <w:ilvl w:val="0"/>
          <w:numId w:val="32"/>
        </w:numPr>
        <w:tabs>
          <w:tab w:val="left" w:pos="13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Jacobs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D.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Handbook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;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Jacobs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D.S;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Kasten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B.L.,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De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Mott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W.R.,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Wolfson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W.L.,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Eds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;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Lexi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-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Comp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Inc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Hudson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</w:t>
      </w:r>
      <w:proofErr w:type="spellStart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Cleveland</w:t>
      </w:r>
      <w:proofErr w:type="spellEnd"/>
      <w:r w:rsidRPr="008F2005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), 1990; P. 219.</w:t>
      </w:r>
    </w:p>
    <w:p w:rsidR="00957380" w:rsidRPr="008F2005" w:rsidRDefault="00957380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8F2005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8F2005" w:rsidRDefault="00933624" w:rsidP="0093362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984"/>
      </w:tblGrid>
      <w:tr w:rsidR="00887585" w:rsidRPr="008F2005" w:rsidTr="00887585">
        <w:tc>
          <w:tcPr>
            <w:tcW w:w="1384" w:type="dxa"/>
          </w:tcPr>
          <w:p w:rsidR="00887585" w:rsidRPr="008F2005" w:rsidRDefault="00887585" w:rsidP="009573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MO-165026</w:t>
            </w:r>
          </w:p>
        </w:tc>
        <w:tc>
          <w:tcPr>
            <w:tcW w:w="1418" w:type="dxa"/>
          </w:tcPr>
          <w:p w:rsidR="00887585" w:rsidRPr="008F2005" w:rsidRDefault="00887585" w:rsidP="009573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MO-165088</w:t>
            </w:r>
          </w:p>
        </w:tc>
        <w:tc>
          <w:tcPr>
            <w:tcW w:w="1984" w:type="dxa"/>
          </w:tcPr>
          <w:p w:rsidR="00887585" w:rsidRPr="008F2005" w:rsidRDefault="00887585" w:rsidP="009573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MO-165195</w:t>
            </w:r>
          </w:p>
        </w:tc>
      </w:tr>
      <w:tr w:rsidR="00887585" w:rsidRPr="008F2005" w:rsidTr="00887585">
        <w:tc>
          <w:tcPr>
            <w:tcW w:w="1384" w:type="dxa"/>
          </w:tcPr>
          <w:p w:rsidR="00887585" w:rsidRPr="008F2005" w:rsidRDefault="0088758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 1х240 мл</w:t>
            </w:r>
          </w:p>
        </w:tc>
        <w:tc>
          <w:tcPr>
            <w:tcW w:w="1418" w:type="dxa"/>
          </w:tcPr>
          <w:p w:rsidR="00887585" w:rsidRPr="008F2005" w:rsidRDefault="0088758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 1х60 мл</w:t>
            </w:r>
          </w:p>
        </w:tc>
        <w:tc>
          <w:tcPr>
            <w:tcW w:w="1984" w:type="dxa"/>
          </w:tcPr>
          <w:p w:rsidR="00887585" w:rsidRPr="008F2005" w:rsidRDefault="0088758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R1:1х30 мл</w:t>
            </w:r>
          </w:p>
        </w:tc>
      </w:tr>
      <w:tr w:rsidR="00887585" w:rsidRPr="008F2005" w:rsidTr="00887585">
        <w:tc>
          <w:tcPr>
            <w:tcW w:w="1384" w:type="dxa"/>
          </w:tcPr>
          <w:p w:rsidR="00887585" w:rsidRPr="008F2005" w:rsidRDefault="00887585" w:rsidP="0088758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R2: 1х80 мл</w:t>
            </w:r>
          </w:p>
        </w:tc>
        <w:tc>
          <w:tcPr>
            <w:tcW w:w="1418" w:type="dxa"/>
          </w:tcPr>
          <w:p w:rsidR="00887585" w:rsidRPr="008F2005" w:rsidRDefault="0088758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R2: 1х20 мл</w:t>
            </w:r>
          </w:p>
        </w:tc>
        <w:tc>
          <w:tcPr>
            <w:tcW w:w="1984" w:type="dxa"/>
          </w:tcPr>
          <w:p w:rsidR="00887585" w:rsidRPr="008F2005" w:rsidRDefault="0088758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R2: 1х10 мл</w:t>
            </w:r>
          </w:p>
        </w:tc>
      </w:tr>
      <w:tr w:rsidR="00887585" w:rsidRPr="008F2005" w:rsidTr="00887585">
        <w:tc>
          <w:tcPr>
            <w:tcW w:w="1384" w:type="dxa"/>
          </w:tcPr>
          <w:p w:rsidR="00887585" w:rsidRPr="008F2005" w:rsidRDefault="0088758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1х1 мл</w:t>
            </w:r>
          </w:p>
        </w:tc>
        <w:tc>
          <w:tcPr>
            <w:tcW w:w="1418" w:type="dxa"/>
          </w:tcPr>
          <w:p w:rsidR="00887585" w:rsidRPr="008F2005" w:rsidRDefault="0088758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1х1 мл</w:t>
            </w:r>
          </w:p>
        </w:tc>
        <w:tc>
          <w:tcPr>
            <w:tcW w:w="1984" w:type="dxa"/>
          </w:tcPr>
          <w:p w:rsidR="00887585" w:rsidRPr="008F2005" w:rsidRDefault="00887585" w:rsidP="008875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20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1х1 мл</w:t>
            </w:r>
          </w:p>
        </w:tc>
      </w:tr>
    </w:tbl>
    <w:p w:rsidR="00E41777" w:rsidRPr="008F2005" w:rsidRDefault="00E41777" w:rsidP="0093362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33624" w:rsidRPr="008F2005" w:rsidRDefault="00933624" w:rsidP="00933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8F2005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И</w:t>
      </w: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ТА</w:t>
      </w: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8F2005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8F2005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8F2005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8F2005" w:rsidRDefault="00326B9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8F2005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 wp14:anchorId="0C79D81D" wp14:editId="39648835">
            <wp:extent cx="3396392" cy="1006468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515" cy="10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8F2005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701662" w:rsidRPr="008F2005" w:rsidRDefault="00701662" w:rsidP="004B144C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7C4136" w:rsidRPr="008F2005" w:rsidRDefault="006E746B" w:rsidP="00957380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</w:t>
      </w:r>
      <w:r w:rsidR="008F32DD" w:rsidRPr="008F2005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887585" w:rsidRPr="008F2005">
        <w:rPr>
          <w:rFonts w:ascii="Times New Roman" w:hAnsi="Times New Roman" w:cs="Times New Roman"/>
          <w:b w:val="0"/>
          <w:color w:val="000000"/>
          <w:sz w:val="18"/>
          <w:szCs w:val="18"/>
          <w:lang w:val="uk-UA" w:bidi="en-US"/>
        </w:rPr>
        <w:t>MO-165026/MO-165088/MO-165195/</w:t>
      </w:r>
    </w:p>
    <w:p w:rsidR="004B144C" w:rsidRPr="008F2005" w:rsidRDefault="008F32DD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8F2005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4B144C" w:rsidRPr="008F2005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="004B144C"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887585" w:rsidRPr="008F2005">
        <w:rPr>
          <w:rFonts w:ascii="Times New Roman" w:hAnsi="Times New Roman" w:cs="Times New Roman"/>
          <w:sz w:val="18"/>
          <w:szCs w:val="18"/>
          <w:lang w:val="uk-UA"/>
        </w:rPr>
        <w:t>березень 2020</w:t>
      </w:r>
    </w:p>
    <w:p w:rsidR="004B144C" w:rsidRPr="008F2005" w:rsidRDefault="004B144C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B144C" w:rsidRPr="008F2005" w:rsidRDefault="004B144C" w:rsidP="004B144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8F2005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SL </w:t>
      </w:r>
      <w:r w:rsidR="006E746B" w:rsidRPr="008F2005">
        <w:rPr>
          <w:rFonts w:ascii="Times New Roman" w:hAnsi="Times New Roman" w:cs="Times New Roman"/>
          <w:sz w:val="18"/>
          <w:szCs w:val="18"/>
          <w:lang w:val="uk-UA"/>
        </w:rPr>
        <w:t>Сельва де Мар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48 08019 </w:t>
      </w:r>
      <w:r w:rsidR="006E746B" w:rsidRPr="008F2005">
        <w:rPr>
          <w:rFonts w:ascii="Times New Roman" w:hAnsi="Times New Roman" w:cs="Times New Roman"/>
          <w:sz w:val="18"/>
          <w:szCs w:val="18"/>
          <w:lang w:val="uk-UA"/>
        </w:rPr>
        <w:t>Барселона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(</w:t>
      </w:r>
      <w:r w:rsidR="006E746B" w:rsidRPr="008F2005">
        <w:rPr>
          <w:rFonts w:ascii="Times New Roman" w:hAnsi="Times New Roman" w:cs="Times New Roman"/>
          <w:sz w:val="18"/>
          <w:szCs w:val="18"/>
          <w:lang w:val="uk-UA"/>
        </w:rPr>
        <w:t>Іспанія) тел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. +34 93 433 58 60 </w:t>
      </w:r>
      <w:r w:rsidR="006E746B" w:rsidRPr="008F2005">
        <w:rPr>
          <w:rFonts w:ascii="Times New Roman" w:hAnsi="Times New Roman" w:cs="Times New Roman"/>
          <w:sz w:val="18"/>
          <w:szCs w:val="18"/>
          <w:lang w:val="uk-UA"/>
        </w:rPr>
        <w:t>факс</w:t>
      </w:r>
      <w:r w:rsidRPr="008F2005">
        <w:rPr>
          <w:rFonts w:ascii="Times New Roman" w:hAnsi="Times New Roman" w:cs="Times New Roman"/>
          <w:sz w:val="18"/>
          <w:szCs w:val="18"/>
          <w:lang w:val="uk-UA"/>
        </w:rPr>
        <w:t xml:space="preserve"> +34 93 436 38 94 </w:t>
      </w:r>
      <w:r w:rsidRPr="008F2005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1" w:history="1">
        <w:r w:rsidRPr="008F2005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8F2005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2" w:history="1">
        <w:r w:rsidRPr="008F2005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4B144C" w:rsidRPr="00887585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887585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887585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CF234E"/>
    <w:multiLevelType w:val="hybridMultilevel"/>
    <w:tmpl w:val="580C2DAA"/>
    <w:lvl w:ilvl="0" w:tplc="DCB83E8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6707FF"/>
    <w:multiLevelType w:val="multilevel"/>
    <w:tmpl w:val="C08A16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FC6B49"/>
    <w:multiLevelType w:val="hybridMultilevel"/>
    <w:tmpl w:val="4512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9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0"/>
  </w:num>
  <w:num w:numId="3">
    <w:abstractNumId w:val="19"/>
  </w:num>
  <w:num w:numId="4">
    <w:abstractNumId w:val="28"/>
  </w:num>
  <w:num w:numId="5">
    <w:abstractNumId w:val="1"/>
  </w:num>
  <w:num w:numId="6">
    <w:abstractNumId w:val="10"/>
  </w:num>
  <w:num w:numId="7">
    <w:abstractNumId w:val="27"/>
  </w:num>
  <w:num w:numId="8">
    <w:abstractNumId w:val="8"/>
  </w:num>
  <w:num w:numId="9">
    <w:abstractNumId w:val="5"/>
  </w:num>
  <w:num w:numId="10">
    <w:abstractNumId w:val="16"/>
  </w:num>
  <w:num w:numId="11">
    <w:abstractNumId w:val="6"/>
  </w:num>
  <w:num w:numId="12">
    <w:abstractNumId w:val="3"/>
  </w:num>
  <w:num w:numId="13">
    <w:abstractNumId w:val="24"/>
  </w:num>
  <w:num w:numId="14">
    <w:abstractNumId w:val="12"/>
  </w:num>
  <w:num w:numId="15">
    <w:abstractNumId w:val="20"/>
  </w:num>
  <w:num w:numId="16">
    <w:abstractNumId w:val="11"/>
  </w:num>
  <w:num w:numId="17">
    <w:abstractNumId w:val="7"/>
  </w:num>
  <w:num w:numId="18">
    <w:abstractNumId w:val="15"/>
  </w:num>
  <w:num w:numId="19">
    <w:abstractNumId w:val="0"/>
  </w:num>
  <w:num w:numId="20">
    <w:abstractNumId w:val="31"/>
  </w:num>
  <w:num w:numId="21">
    <w:abstractNumId w:val="9"/>
  </w:num>
  <w:num w:numId="22">
    <w:abstractNumId w:val="2"/>
  </w:num>
  <w:num w:numId="23">
    <w:abstractNumId w:val="17"/>
  </w:num>
  <w:num w:numId="24">
    <w:abstractNumId w:val="18"/>
  </w:num>
  <w:num w:numId="25">
    <w:abstractNumId w:val="13"/>
  </w:num>
  <w:num w:numId="26">
    <w:abstractNumId w:val="4"/>
  </w:num>
  <w:num w:numId="27">
    <w:abstractNumId w:val="22"/>
  </w:num>
  <w:num w:numId="28">
    <w:abstractNumId w:val="26"/>
  </w:num>
  <w:num w:numId="29">
    <w:abstractNumId w:val="25"/>
  </w:num>
  <w:num w:numId="30">
    <w:abstractNumId w:val="23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58"/>
    <w:rsid w:val="00013691"/>
    <w:rsid w:val="00030694"/>
    <w:rsid w:val="0007676A"/>
    <w:rsid w:val="00084009"/>
    <w:rsid w:val="000C0263"/>
    <w:rsid w:val="000F7011"/>
    <w:rsid w:val="00126708"/>
    <w:rsid w:val="00133234"/>
    <w:rsid w:val="00133B53"/>
    <w:rsid w:val="001603C8"/>
    <w:rsid w:val="001819AA"/>
    <w:rsid w:val="00185EFF"/>
    <w:rsid w:val="00194F6F"/>
    <w:rsid w:val="00281DB7"/>
    <w:rsid w:val="002D4172"/>
    <w:rsid w:val="002F7E64"/>
    <w:rsid w:val="00325814"/>
    <w:rsid w:val="00326B9E"/>
    <w:rsid w:val="00372693"/>
    <w:rsid w:val="00396DC4"/>
    <w:rsid w:val="003C3189"/>
    <w:rsid w:val="00420E94"/>
    <w:rsid w:val="004B144C"/>
    <w:rsid w:val="004B172B"/>
    <w:rsid w:val="004F01E2"/>
    <w:rsid w:val="004F28AF"/>
    <w:rsid w:val="0052678B"/>
    <w:rsid w:val="0059081E"/>
    <w:rsid w:val="005E64A1"/>
    <w:rsid w:val="006075E4"/>
    <w:rsid w:val="006416E1"/>
    <w:rsid w:val="00642C57"/>
    <w:rsid w:val="006537C2"/>
    <w:rsid w:val="0067062F"/>
    <w:rsid w:val="0067124C"/>
    <w:rsid w:val="00680A18"/>
    <w:rsid w:val="0069480A"/>
    <w:rsid w:val="006E746B"/>
    <w:rsid w:val="006F7925"/>
    <w:rsid w:val="00701662"/>
    <w:rsid w:val="0071458E"/>
    <w:rsid w:val="007370EC"/>
    <w:rsid w:val="00777880"/>
    <w:rsid w:val="007C4136"/>
    <w:rsid w:val="007C675A"/>
    <w:rsid w:val="007F3DC6"/>
    <w:rsid w:val="00840E69"/>
    <w:rsid w:val="008830A5"/>
    <w:rsid w:val="00887585"/>
    <w:rsid w:val="00897DA5"/>
    <w:rsid w:val="008D0449"/>
    <w:rsid w:val="008D7998"/>
    <w:rsid w:val="008F2005"/>
    <w:rsid w:val="008F32DD"/>
    <w:rsid w:val="00907183"/>
    <w:rsid w:val="00913B71"/>
    <w:rsid w:val="00933624"/>
    <w:rsid w:val="00934FAA"/>
    <w:rsid w:val="00957380"/>
    <w:rsid w:val="00AD6BD5"/>
    <w:rsid w:val="00B23475"/>
    <w:rsid w:val="00B61347"/>
    <w:rsid w:val="00B70A34"/>
    <w:rsid w:val="00B77C82"/>
    <w:rsid w:val="00BA361E"/>
    <w:rsid w:val="00BF4346"/>
    <w:rsid w:val="00C27AA8"/>
    <w:rsid w:val="00C457FE"/>
    <w:rsid w:val="00C94EAC"/>
    <w:rsid w:val="00CA4916"/>
    <w:rsid w:val="00CE71D0"/>
    <w:rsid w:val="00D104E5"/>
    <w:rsid w:val="00D10693"/>
    <w:rsid w:val="00D50D23"/>
    <w:rsid w:val="00D726C7"/>
    <w:rsid w:val="00D96D4B"/>
    <w:rsid w:val="00DB4658"/>
    <w:rsid w:val="00DB72EB"/>
    <w:rsid w:val="00E275D1"/>
    <w:rsid w:val="00E41777"/>
    <w:rsid w:val="00E60C96"/>
    <w:rsid w:val="00E94547"/>
    <w:rsid w:val="00EB4107"/>
    <w:rsid w:val="00EC2B33"/>
    <w:rsid w:val="00F03E36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488F"/>
  <w15:docId w15:val="{B4802B11-CBD3-4D46-91F5-8015C3D9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8</cp:revision>
  <dcterms:created xsi:type="dcterms:W3CDTF">2022-02-06T06:50:00Z</dcterms:created>
  <dcterms:modified xsi:type="dcterms:W3CDTF">2023-03-24T12:15:00Z</dcterms:modified>
</cp:coreProperties>
</file>