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0E" w:rsidRDefault="00AF220E" w:rsidP="00AF220E">
      <w:pPr>
        <w:spacing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87607D">
        <w:rPr>
          <w:rFonts w:ascii="Arial" w:eastAsia="Tahoma" w:hAnsi="Arial" w:cs="Arial"/>
          <w:b/>
          <w:noProof/>
          <w:color w:val="002060"/>
          <w:sz w:val="24"/>
          <w:szCs w:val="24"/>
          <w:lang w:val="uk-UA" w:eastAsia="uk-UA"/>
        </w:rPr>
        <w:drawing>
          <wp:anchor distT="0" distB="0" distL="114300" distR="114300" simplePos="0" relativeHeight="251655680" behindDoc="0" locked="0" layoutInCell="1" allowOverlap="1" wp14:anchorId="55FC230F" wp14:editId="44D9D622">
            <wp:simplePos x="0" y="0"/>
            <wp:positionH relativeFrom="column">
              <wp:posOffset>1297305</wp:posOffset>
            </wp:positionH>
            <wp:positionV relativeFrom="paragraph">
              <wp:posOffset>226060</wp:posOffset>
            </wp:positionV>
            <wp:extent cx="352425" cy="361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07D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1824" behindDoc="0" locked="0" layoutInCell="1" allowOverlap="1" wp14:anchorId="404EBDB7" wp14:editId="27D0F76A">
            <wp:simplePos x="0" y="0"/>
            <wp:positionH relativeFrom="column">
              <wp:posOffset>610870</wp:posOffset>
            </wp:positionH>
            <wp:positionV relativeFrom="paragraph">
              <wp:posOffset>-723265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6B0607F" wp14:editId="0772AA74">
            <wp:extent cx="723900" cy="5943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5501CE19" wp14:editId="414C8A7F">
            <wp:extent cx="487680" cy="3352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</w:t>
      </w:r>
      <w:r>
        <w:rPr>
          <w:i/>
          <w:noProof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AF220E" w:rsidRPr="004C3C0A" w:rsidRDefault="00AF220E" w:rsidP="00AF220E">
      <w:pPr>
        <w:spacing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</w:p>
    <w:p w:rsidR="0052678B" w:rsidRPr="00AF220E" w:rsidRDefault="00DB72EB" w:rsidP="00DB72EB">
      <w:pPr>
        <w:spacing w:after="0" w:line="240" w:lineRule="auto"/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87607D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87607D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87607D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87607D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87607D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87607D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42"/>
      </w:tblGrid>
      <w:tr w:rsidR="0052678B" w:rsidRPr="00AF220E" w:rsidTr="00AF220E">
        <w:trPr>
          <w:trHeight w:val="1494"/>
        </w:trPr>
        <w:tc>
          <w:tcPr>
            <w:tcW w:w="4642" w:type="dxa"/>
          </w:tcPr>
          <w:p w:rsidR="00396DC4" w:rsidRPr="00AF220E" w:rsidRDefault="00FB252A" w:rsidP="00396DC4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AF220E">
              <w:rPr>
                <w:rStyle w:val="42"/>
                <w:rFonts w:asciiTheme="minorHAnsi" w:hAnsiTheme="minorHAnsi" w:cstheme="minorHAnsi"/>
                <w:b/>
                <w:color w:val="002060"/>
                <w:sz w:val="18"/>
                <w:szCs w:val="18"/>
                <w:lang w:val="uk-UA"/>
              </w:rPr>
              <w:t>GOT</w:t>
            </w:r>
            <w:r w:rsidR="00084009" w:rsidRPr="00AF220E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F7E64" w:rsidRPr="00AF220E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AF220E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AF220E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AF220E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AF220E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AF220E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8615B" w:rsidRPr="00AF220E" w:rsidRDefault="0058615B" w:rsidP="00396DC4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</w:p>
          <w:p w:rsidR="00B6005D" w:rsidRPr="00AF220E" w:rsidRDefault="00FB252A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NADH </w:t>
            </w:r>
            <w:proofErr w:type="spellStart"/>
            <w:r w:rsidR="00B6005D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рек</w:t>
            </w:r>
            <w:proofErr w:type="spellEnd"/>
            <w:r w:rsidR="00B6005D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. Міжнародної федерації</w:t>
            </w:r>
          </w:p>
          <w:p w:rsidR="00B6005D" w:rsidRPr="00AF220E" w:rsidRDefault="00B6005D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клінічної хімії та лабораторної медицини </w:t>
            </w:r>
          </w:p>
          <w:p w:rsidR="00986C81" w:rsidRPr="00AF220E" w:rsidRDefault="00B6005D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(IFCC) </w:t>
            </w:r>
            <w:r w:rsidR="00FB252A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Кінетичне УФ</w:t>
            </w:r>
          </w:p>
          <w:p w:rsidR="00FB252A" w:rsidRPr="00AF220E" w:rsidRDefault="00FB252A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тестування</w:t>
            </w:r>
          </w:p>
          <w:p w:rsidR="0058615B" w:rsidRPr="00AF220E" w:rsidRDefault="00527CE3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bookmarkStart w:id="1" w:name="_GoBack"/>
            <w:bookmarkEnd w:id="1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Рідина.</w:t>
            </w:r>
            <w:r w:rsidR="006C73E7" w:rsidRPr="00AF220E">
              <w:rPr>
                <w:rFonts w:asciiTheme="minorHAnsi" w:hAnsiTheme="minorHAnsi" w:cstheme="minorHAnsi"/>
                <w:noProof/>
                <w:sz w:val="18"/>
                <w:szCs w:val="18"/>
                <w:lang w:val="uk-UA" w:eastAsia="uk-UA"/>
              </w:rPr>
              <w:t xml:space="preserve"> </w:t>
            </w:r>
          </w:p>
        </w:tc>
      </w:tr>
    </w:tbl>
    <w:p w:rsidR="00084009" w:rsidRPr="00AF220E" w:rsidRDefault="00084009" w:rsidP="00EB4107">
      <w:pPr>
        <w:spacing w:after="0" w:line="240" w:lineRule="auto"/>
        <w:jc w:val="center"/>
        <w:rPr>
          <w:rStyle w:val="42"/>
          <w:rFonts w:asciiTheme="minorHAnsi" w:hAnsiTheme="minorHAnsi" w:cstheme="minorHAnsi"/>
          <w:b/>
          <w:bCs/>
          <w:color w:val="002060"/>
          <w:sz w:val="18"/>
          <w:szCs w:val="18"/>
          <w:lang w:val="uk-UA"/>
        </w:rPr>
      </w:pPr>
      <w:r w:rsidRPr="00AF220E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Кількісне визначення</w:t>
      </w:r>
      <w:r w:rsidR="00FB252A" w:rsidRPr="00AF220E">
        <w:rPr>
          <w:rStyle w:val="110"/>
          <w:rFonts w:asciiTheme="minorHAnsi" w:hAnsiTheme="minorHAnsi" w:cstheme="minorHAnsi"/>
          <w:b/>
          <w:bCs/>
          <w:color w:val="002060"/>
          <w:sz w:val="18"/>
          <w:szCs w:val="18"/>
          <w:lang w:val="uk-UA"/>
        </w:rPr>
        <w:t xml:space="preserve"> </w:t>
      </w:r>
      <w:proofErr w:type="spellStart"/>
      <w:r w:rsidR="0036200A" w:rsidRPr="00AF220E">
        <w:rPr>
          <w:rFonts w:cstheme="minorHAnsi"/>
          <w:b/>
          <w:color w:val="002060"/>
          <w:sz w:val="18"/>
          <w:szCs w:val="18"/>
          <w:lang w:val="uk-UA" w:bidi="en-US"/>
        </w:rPr>
        <w:t>аспартатамінотрансферази</w:t>
      </w:r>
      <w:proofErr w:type="spellEnd"/>
    </w:p>
    <w:p w:rsidR="00FB252A" w:rsidRPr="00AF220E" w:rsidRDefault="00FB252A" w:rsidP="00EB4107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</w:pPr>
      <w:r w:rsidRPr="00AF220E">
        <w:rPr>
          <w:rStyle w:val="42"/>
          <w:rFonts w:asciiTheme="minorHAnsi" w:hAnsiTheme="minorHAnsi" w:cstheme="minorHAnsi"/>
          <w:b/>
          <w:bCs/>
          <w:color w:val="002060"/>
          <w:sz w:val="18"/>
          <w:szCs w:val="18"/>
          <w:lang w:val="uk-UA"/>
        </w:rPr>
        <w:t>(GOT/AST)</w:t>
      </w:r>
    </w:p>
    <w:p w:rsidR="0058615B" w:rsidRPr="00AF220E" w:rsidRDefault="0058615B" w:rsidP="0058615B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AF220E">
        <w:rPr>
          <w:rFonts w:cstheme="minorHAnsi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AF220E">
        <w:rPr>
          <w:rFonts w:cstheme="minorHAnsi"/>
          <w:i/>
          <w:sz w:val="18"/>
          <w:szCs w:val="18"/>
          <w:lang w:val="uk-UA"/>
        </w:rPr>
        <w:t>in</w:t>
      </w:r>
      <w:proofErr w:type="spellEnd"/>
      <w:r w:rsidRPr="00AF220E">
        <w:rPr>
          <w:rFonts w:cstheme="minorHAnsi"/>
          <w:i/>
          <w:sz w:val="18"/>
          <w:szCs w:val="18"/>
          <w:lang w:val="uk-UA"/>
        </w:rPr>
        <w:t xml:space="preserve"> </w:t>
      </w:r>
      <w:proofErr w:type="spellStart"/>
      <w:r w:rsidRPr="00AF220E">
        <w:rPr>
          <w:rFonts w:cstheme="minorHAnsi"/>
          <w:i/>
          <w:sz w:val="18"/>
          <w:szCs w:val="18"/>
          <w:lang w:val="uk-UA"/>
        </w:rPr>
        <w:t>vitro</w:t>
      </w:r>
      <w:proofErr w:type="spellEnd"/>
      <w:r w:rsidRPr="00AF220E">
        <w:rPr>
          <w:rFonts w:cstheme="minorHAnsi"/>
          <w:sz w:val="18"/>
          <w:szCs w:val="18"/>
          <w:lang w:val="uk-UA"/>
        </w:rPr>
        <w:t>.</w:t>
      </w:r>
    </w:p>
    <w:p w:rsidR="00396DC4" w:rsidRPr="00AF220E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Зберігати</w:t>
      </w:r>
      <w:r w:rsidR="00396DC4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>температурі</w:t>
      </w:r>
      <w:r w:rsidR="00396DC4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2 - 8°C.</w:t>
      </w:r>
    </w:p>
    <w:p w:rsidR="00396DC4" w:rsidRPr="00AF220E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AF220E" w:rsidRDefault="00396DC4" w:rsidP="0058615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FB252A" w:rsidRPr="00AF220E" w:rsidRDefault="00212FA6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Аспартатамінотрансфераза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(AST), яка раніше називалася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глутаматоксалоацетатом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(GOT</w:t>
      </w:r>
      <w:r w:rsidR="0036200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), </w:t>
      </w:r>
      <w:proofErr w:type="spellStart"/>
      <w:r w:rsidR="0036200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каталізує</w:t>
      </w:r>
      <w:proofErr w:type="spellEnd"/>
      <w:r w:rsidR="0036200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оборотне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перенесення аміногрупи від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аспартату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до </w:t>
      </w:r>
      <w:r w:rsidR="0036200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α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кетоглутарату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утворюючи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глутамат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і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оксалацетат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Утворений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оксалацетат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відновлюється до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малату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за допомогою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малатдегідрогенази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(MDH) і NADH:</w:t>
      </w:r>
    </w:p>
    <w:p w:rsidR="0036200A" w:rsidRPr="00AF220E" w:rsidRDefault="008812DB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  AST</w:t>
      </w:r>
    </w:p>
    <w:p w:rsidR="00FB252A" w:rsidRPr="00AF220E" w:rsidRDefault="0036200A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L-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аспартат</w:t>
      </w:r>
      <w:proofErr w:type="spellEnd"/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+ </w:t>
      </w:r>
      <w:r w:rsidRPr="00AF220E">
        <w:rPr>
          <w:rStyle w:val="255pt150"/>
          <w:rFonts w:asciiTheme="minorHAnsi" w:hAnsiTheme="minorHAnsi" w:cstheme="minorHAnsi"/>
          <w:sz w:val="18"/>
          <w:szCs w:val="18"/>
          <w:lang w:val="uk-UA"/>
        </w:rPr>
        <w:t>α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кетоглутарат</w:t>
      </w:r>
      <w:proofErr w:type="spellEnd"/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--</w:t>
      </w:r>
      <w:r w:rsidR="008812D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-→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Глутамат</w:t>
      </w:r>
      <w:proofErr w:type="spellEnd"/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+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Оксалацетат</w:t>
      </w:r>
      <w:proofErr w:type="spellEnd"/>
    </w:p>
    <w:p w:rsidR="008812DB" w:rsidRPr="00AF220E" w:rsidRDefault="008812DB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FB252A" w:rsidRPr="00AF220E" w:rsidRDefault="008812DB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             MDH</w:t>
      </w:r>
    </w:p>
    <w:p w:rsidR="00FB252A" w:rsidRPr="00AF220E" w:rsidRDefault="0036200A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</w:pP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Оксалацетат</w:t>
      </w:r>
      <w:proofErr w:type="spellEnd"/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+ NADH + H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 xml:space="preserve">+ 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---</w:t>
      </w:r>
      <w:r w:rsidR="008812D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--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→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Малат</w:t>
      </w:r>
      <w:proofErr w:type="spellEnd"/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+NAD</w:t>
      </w:r>
      <w:r w:rsidRPr="00AF220E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+</w:t>
      </w:r>
    </w:p>
    <w:p w:rsidR="008812DB" w:rsidRPr="00AF220E" w:rsidRDefault="008812DB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</w:pPr>
    </w:p>
    <w:p w:rsidR="00FB252A" w:rsidRPr="00AF220E" w:rsidRDefault="0036200A" w:rsidP="00FB252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Швидкість зниження концентрації NADH, виміряна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фотометрично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пропорційна каталітичній концентрації AST у зразку</w:t>
      </w:r>
      <w:r w:rsidRPr="00AF220E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FB252A" w:rsidRPr="00AF220E" w:rsidRDefault="00FB252A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275D1" w:rsidRPr="00AF220E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386551" w:rsidRPr="00AF220E" w:rsidRDefault="00386551" w:rsidP="00386551">
      <w:pPr>
        <w:pStyle w:val="20"/>
        <w:shd w:val="clear" w:color="auto" w:fill="auto"/>
        <w:spacing w:after="0" w:line="168" w:lineRule="exact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36200A" w:rsidRPr="00AF220E" w:rsidRDefault="0036200A" w:rsidP="0036200A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AST є клітинним ферментом, що у найвищій концентрації міститься в серцевому м’язі, клітинах печінки, клітинах скелетних м’язів і в менших кількостях в інших тканинах.</w:t>
      </w:r>
    </w:p>
    <w:p w:rsidR="0036200A" w:rsidRPr="00AF220E" w:rsidRDefault="0036200A" w:rsidP="0036200A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Хоча підвищений рівень AST у сироватці крові не є специфічним для захворювання печінки, використовується в основному для діагностики та перевірки перебігу цього захворювання за допомогою інших ферментів, таких як ALT та ALP.</w:t>
      </w:r>
    </w:p>
    <w:p w:rsidR="0036200A" w:rsidRPr="00AF220E" w:rsidRDefault="0036200A" w:rsidP="0036200A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Також використовується для контролю пацієнтів після інфаркту міокарда, при захворюваннях скелетних м’язів та інших</w:t>
      </w:r>
      <w:r w:rsidRPr="00AF220E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1,4,5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07183" w:rsidRPr="00AF220E" w:rsidRDefault="0036200A" w:rsidP="0036200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71458E" w:rsidRPr="00AF220E">
        <w:rPr>
          <w:rFonts w:asciiTheme="minorHAnsi" w:hAnsiTheme="minorHAnsi" w:cstheme="minorHAnsi"/>
          <w:sz w:val="18"/>
          <w:szCs w:val="18"/>
          <w:lang w:val="uk-UA"/>
        </w:rPr>
        <w:tab/>
        <w:t xml:space="preserve">  </w:t>
      </w:r>
    </w:p>
    <w:p w:rsidR="0036200A" w:rsidRPr="00AF220E" w:rsidRDefault="0036200A" w:rsidP="0036200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AF220E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AF220E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AF220E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856"/>
      </w:tblGrid>
      <w:tr w:rsidR="000E03EC" w:rsidRPr="00AF220E" w:rsidTr="00B122F5">
        <w:trPr>
          <w:trHeight w:val="209"/>
        </w:trPr>
        <w:tc>
          <w:tcPr>
            <w:tcW w:w="1135" w:type="dxa"/>
            <w:vAlign w:val="center"/>
          </w:tcPr>
          <w:p w:rsidR="000E03EC" w:rsidRPr="00AF220E" w:rsidRDefault="000E03EC" w:rsidP="00B122F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0E03EC" w:rsidRPr="00AF220E" w:rsidRDefault="000E03EC" w:rsidP="00B122F5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b/>
                <w:sz w:val="18"/>
                <w:szCs w:val="18"/>
                <w:lang w:val="uk-UA"/>
              </w:rPr>
              <w:t xml:space="preserve">R1 </w:t>
            </w:r>
          </w:p>
          <w:p w:rsidR="000E03EC" w:rsidRPr="00AF220E" w:rsidRDefault="000E03EC" w:rsidP="00B122F5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b/>
                <w:sz w:val="18"/>
                <w:szCs w:val="18"/>
                <w:lang w:val="uk-UA"/>
              </w:rPr>
              <w:t>буфер</w:t>
            </w:r>
          </w:p>
          <w:p w:rsidR="000E03EC" w:rsidRPr="00AF220E" w:rsidRDefault="000E03EC" w:rsidP="00B122F5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TRIS </w:t>
            </w: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pH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7,8                      80 ммоль/л</w:t>
            </w:r>
          </w:p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Лактат </w:t>
            </w: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дегідрогеназа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(LDH) 800 Од/л</w:t>
            </w:r>
          </w:p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Малат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дегідрогеназа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(MDH) 600 Од/л</w:t>
            </w:r>
          </w:p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L-</w:t>
            </w: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Аспартат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        200 ммоль/л</w:t>
            </w:r>
          </w:p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</w:p>
        </w:tc>
      </w:tr>
      <w:tr w:rsidR="000E03EC" w:rsidRPr="00AF220E" w:rsidTr="00B122F5">
        <w:trPr>
          <w:trHeight w:val="259"/>
        </w:trPr>
        <w:tc>
          <w:tcPr>
            <w:tcW w:w="1135" w:type="dxa"/>
          </w:tcPr>
          <w:p w:rsidR="000E03EC" w:rsidRPr="00AF220E" w:rsidRDefault="000E03EC" w:rsidP="00B122F5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  <w:p w:rsidR="000E03EC" w:rsidRPr="00AF220E" w:rsidRDefault="000E03EC" w:rsidP="00B122F5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b/>
                <w:sz w:val="18"/>
                <w:szCs w:val="18"/>
                <w:lang w:val="uk-UA"/>
              </w:rPr>
              <w:lastRenderedPageBreak/>
              <w:t xml:space="preserve">R2 </w:t>
            </w:r>
          </w:p>
          <w:p w:rsidR="000E03EC" w:rsidRPr="00AF220E" w:rsidRDefault="000E03EC" w:rsidP="00B122F5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b/>
                <w:sz w:val="18"/>
                <w:szCs w:val="18"/>
                <w:lang w:val="uk-UA"/>
              </w:rPr>
              <w:t>субстрат</w:t>
            </w:r>
          </w:p>
          <w:p w:rsidR="000E03EC" w:rsidRPr="00AF220E" w:rsidRDefault="000E03EC" w:rsidP="00B122F5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856" w:type="dxa"/>
          </w:tcPr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NADH                          0,18 ммоль/л </w:t>
            </w:r>
          </w:p>
          <w:p w:rsidR="000E03EC" w:rsidRPr="00AF220E" w:rsidRDefault="000E03EC" w:rsidP="00B122F5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Style w:val="255pt150"/>
                <w:rFonts w:asciiTheme="minorHAnsi" w:hAnsiTheme="minorHAnsi" w:cstheme="minorHAnsi"/>
                <w:sz w:val="18"/>
                <w:szCs w:val="18"/>
                <w:lang w:val="uk-UA"/>
              </w:rPr>
              <w:t>a</w:t>
            </w: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Кетоглутарат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 12 ммоль/л</w:t>
            </w:r>
          </w:p>
        </w:tc>
      </w:tr>
    </w:tbl>
    <w:p w:rsidR="001731D1" w:rsidRPr="00AF220E" w:rsidRDefault="001731D1" w:rsidP="00386551">
      <w:pPr>
        <w:pStyle w:val="20"/>
        <w:shd w:val="clear" w:color="auto" w:fill="auto"/>
        <w:spacing w:line="240" w:lineRule="auto"/>
        <w:rPr>
          <w:rFonts w:asciiTheme="minorHAnsi" w:hAnsiTheme="minorHAnsi" w:cstheme="minorHAnsi"/>
          <w:color w:val="000000"/>
          <w:sz w:val="18"/>
          <w:szCs w:val="18"/>
          <w:lang w:bidi="en-US"/>
        </w:rPr>
      </w:pPr>
    </w:p>
    <w:p w:rsidR="00FB252A" w:rsidRPr="00AF220E" w:rsidRDefault="00FB252A" w:rsidP="005C041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40" w:lineRule="auto"/>
        <w:ind w:firstLine="0"/>
        <w:jc w:val="center"/>
        <w:rPr>
          <w:rFonts w:asciiTheme="minorHAnsi" w:hAnsiTheme="minorHAnsi" w:cstheme="minorHAnsi"/>
          <w:b/>
          <w:color w:val="00206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b/>
          <w:color w:val="002060"/>
          <w:sz w:val="18"/>
          <w:szCs w:val="18"/>
          <w:lang w:val="uk-UA" w:bidi="en-US"/>
        </w:rPr>
        <w:t>ЗАСТЕРЕЖЕННЯ</w:t>
      </w:r>
    </w:p>
    <w:p w:rsidR="00FB252A" w:rsidRPr="00AF220E" w:rsidRDefault="00FB252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R1: H290-</w:t>
      </w:r>
      <w:r w:rsidR="0036200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може бути корозійним до металів.</w:t>
      </w:r>
    </w:p>
    <w:p w:rsidR="00FB252A" w:rsidRPr="00AF220E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Дотримуйтесь застережних заходів, наведених у MSDS та етикетці продукту.</w:t>
      </w:r>
    </w:p>
    <w:p w:rsidR="0036200A" w:rsidRPr="00AF220E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AF220E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ПІ</w:t>
      </w:r>
      <w:r w:rsidR="00907183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ДГОТОВКА</w:t>
      </w:r>
    </w:p>
    <w:p w:rsidR="0056416C" w:rsidRPr="00AF220E" w:rsidRDefault="0056416C" w:rsidP="007F3A34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bookmarkStart w:id="2" w:name="bookmark26"/>
    </w:p>
    <w:p w:rsidR="00FB252A" w:rsidRPr="00AF220E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Робочий реагент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(WR):</w:t>
      </w:r>
    </w:p>
    <w:p w:rsidR="00986C81" w:rsidRPr="00AF220E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Змішайте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: 4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об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Буферу 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(R</w:t>
      </w:r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1)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+ 1 </w:t>
      </w:r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об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  <w:r w:rsidR="0087607D" w:rsidRPr="00AF220E">
        <w:rPr>
          <w:rFonts w:asciiTheme="minorHAnsi" w:hAnsiTheme="minorHAnsi" w:cstheme="minorHAnsi"/>
          <w:color w:val="000000"/>
          <w:sz w:val="18"/>
          <w:szCs w:val="18"/>
          <w:lang w:bidi="en-US"/>
        </w:rPr>
        <w:t xml:space="preserve"> </w:t>
      </w:r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субстрату 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(R2) </w:t>
      </w:r>
      <w:r w:rsidR="0087607D" w:rsidRPr="00AF220E">
        <w:rPr>
          <w:rFonts w:asciiTheme="minorHAnsi" w:hAnsiTheme="minorHAnsi" w:cstheme="minorHAnsi"/>
          <w:color w:val="000000"/>
          <w:sz w:val="18"/>
          <w:szCs w:val="18"/>
          <w:lang w:bidi="en-US"/>
        </w:rPr>
        <w:t xml:space="preserve"> </w:t>
      </w:r>
    </w:p>
    <w:p w:rsidR="00FB252A" w:rsidRPr="00AF220E" w:rsidRDefault="00986C81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Стабільність субстрату: 21 день при 2-8°C або 72 години при кімнатній температурі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(15-25°C).</w:t>
      </w:r>
    </w:p>
    <w:p w:rsidR="00FB5FEE" w:rsidRPr="00AF220E" w:rsidRDefault="00FB5FEE" w:rsidP="006A58E7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</w:p>
    <w:p w:rsidR="00185EFF" w:rsidRPr="00AF220E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</w:pPr>
      <w:r w:rsidRPr="00AF220E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AF220E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2"/>
    <w:p w:rsidR="00D96D4B" w:rsidRPr="00AF220E" w:rsidRDefault="006E746B" w:rsidP="0056416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1731D1" w:rsidRPr="00AF220E" w:rsidRDefault="001731D1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1731D1" w:rsidRPr="00AF220E" w:rsidRDefault="00B24DED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Не використовуйте реагенти</w:t>
      </w:r>
      <w:r w:rsidR="001731D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після закінчення терміну придатності.</w:t>
      </w:r>
    </w:p>
    <w:p w:rsidR="007F3A34" w:rsidRPr="00AF220E" w:rsidRDefault="00571F4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b/>
          <w:sz w:val="18"/>
          <w:szCs w:val="18"/>
          <w:lang w:val="uk-UA"/>
        </w:rPr>
        <w:t>Ознаки псування реагенту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>:</w:t>
      </w:r>
    </w:p>
    <w:p w:rsidR="0012517C" w:rsidRPr="00AF220E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Наявність частинок та помутніння.</w:t>
      </w:r>
      <w:r w:rsidR="0012517C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12517C" w:rsidRPr="00AF220E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Пуста абсорбція (A) при 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340</w:t>
      </w:r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  <w:r w:rsidR="00A44E33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FB252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&lt;1,00.</w:t>
      </w:r>
    </w:p>
    <w:p w:rsidR="00701C78" w:rsidRPr="00AF220E" w:rsidRDefault="00701C78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AF220E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ДО</w:t>
      </w:r>
      <w:r w:rsidR="006E746B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AF220E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-</w:t>
      </w:r>
      <w:r w:rsidR="00281DB7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Спектрофотометр </w:t>
      </w:r>
      <w:r w:rsidR="000F7011" w:rsidRPr="00AF220E">
        <w:rPr>
          <w:rFonts w:asciiTheme="minorHAnsi" w:hAnsiTheme="minorHAnsi" w:cstheme="minorHAnsi"/>
          <w:sz w:val="18"/>
          <w:szCs w:val="18"/>
          <w:lang w:val="uk-UA"/>
        </w:rPr>
        <w:t>або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колориметр, </w:t>
      </w:r>
      <w:r w:rsidR="000F7011" w:rsidRPr="00AF220E">
        <w:rPr>
          <w:rFonts w:asciiTheme="minorHAnsi" w:hAnsiTheme="minorHAnsi" w:cstheme="minorHAnsi"/>
          <w:sz w:val="18"/>
          <w:szCs w:val="18"/>
          <w:lang w:val="uk-UA"/>
        </w:rPr>
        <w:t>що вимірює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при</w:t>
      </w:r>
      <w:r w:rsidR="00AD6BD5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FB252A" w:rsidRPr="00AF220E">
        <w:rPr>
          <w:rFonts w:asciiTheme="minorHAnsi" w:hAnsiTheme="minorHAnsi" w:cstheme="minorHAnsi"/>
          <w:sz w:val="18"/>
          <w:szCs w:val="18"/>
          <w:lang w:val="uk-UA"/>
        </w:rPr>
        <w:t>340</w:t>
      </w:r>
      <w:r w:rsidR="00701C78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>нм</w:t>
      </w:r>
      <w:r w:rsidR="00701C78" w:rsidRPr="00AF220E">
        <w:rPr>
          <w:rFonts w:asciiTheme="minorHAnsi" w:hAnsiTheme="minorHAnsi" w:cstheme="minorHAnsi"/>
          <w:sz w:val="18"/>
          <w:szCs w:val="18"/>
          <w:lang w:val="uk-UA"/>
        </w:rPr>
        <w:t>.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FB252A" w:rsidRPr="00AF220E" w:rsidRDefault="00FB252A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Температурна ванна при 25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°C,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30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°C або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37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°C (±0,1°C).</w:t>
      </w:r>
    </w:p>
    <w:p w:rsidR="00647C6E" w:rsidRPr="00AF220E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</w:t>
      </w:r>
      <w:r w:rsidR="00647C6E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701C78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Відповідні кювети 1,0 см шляху світла.</w:t>
      </w:r>
    </w:p>
    <w:p w:rsidR="00933624" w:rsidRPr="00AF220E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AF220E">
        <w:rPr>
          <w:rFonts w:asciiTheme="minorHAnsi" w:hAnsiTheme="minorHAnsi" w:cstheme="minorHAnsi"/>
          <w:sz w:val="18"/>
          <w:szCs w:val="18"/>
          <w:lang w:val="uk-UA"/>
        </w:rPr>
        <w:t>Загальне лабораторн</w:t>
      </w:r>
      <w:r w:rsidR="00185EFF" w:rsidRPr="00AF220E">
        <w:rPr>
          <w:rFonts w:asciiTheme="minorHAnsi" w:hAnsiTheme="minorHAnsi" w:cstheme="minorHAnsi"/>
          <w:sz w:val="18"/>
          <w:szCs w:val="18"/>
          <w:lang w:val="uk-UA"/>
        </w:rPr>
        <w:t>е об</w:t>
      </w:r>
      <w:r w:rsidR="000F7011" w:rsidRPr="00AF220E">
        <w:rPr>
          <w:rFonts w:asciiTheme="minorHAnsi" w:hAnsiTheme="minorHAnsi" w:cstheme="minorHAnsi"/>
          <w:sz w:val="18"/>
          <w:szCs w:val="18"/>
          <w:lang w:val="uk-UA"/>
        </w:rPr>
        <w:t>ладнання</w:t>
      </w:r>
      <w:r w:rsidR="007F3A34" w:rsidRPr="00AF220E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FB252A" w:rsidRPr="00AF220E" w:rsidRDefault="00FB252A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AF220E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ПРОБИ</w:t>
      </w:r>
    </w:p>
    <w:p w:rsidR="00E60C96" w:rsidRPr="00AF220E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A44E33" w:rsidRPr="00AF220E" w:rsidRDefault="00FB252A" w:rsidP="00FB252A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Сироватка або плазма</w:t>
      </w:r>
      <w:r w:rsidRPr="00AF220E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 xml:space="preserve">1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: стабільність 7 днів при 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>2 - 8°C.</w:t>
      </w:r>
    </w:p>
    <w:p w:rsidR="00A44E33" w:rsidRPr="00AF220E" w:rsidRDefault="00A44E33" w:rsidP="001731D1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AF220E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AF220E" w:rsidRDefault="0056416C" w:rsidP="005C0415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Умови аналізу</w:t>
      </w:r>
      <w:r w:rsidR="00D96D4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6075E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………………….</w:t>
      </w:r>
      <w:r w:rsidR="0012517C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340</w:t>
      </w:r>
      <w:r w:rsidR="00D96D4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</w:p>
    <w:p w:rsidR="00D96D4B" w:rsidRPr="00AF220E" w:rsidRDefault="0056416C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Кювета: ………….</w:t>
      </w:r>
      <w:r w:rsidR="00D96D4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1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см довжина світового шляху</w:t>
      </w:r>
    </w:p>
    <w:p w:rsidR="00D96D4B" w:rsidRPr="00AF220E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Т</w:t>
      </w:r>
      <w:r w:rsidR="006075E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емпература</w:t>
      </w:r>
      <w:r w:rsidR="00D104E5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D104E5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="008812D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25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°C</w:t>
      </w:r>
      <w:r w:rsidR="0012517C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 30°C /</w:t>
      </w:r>
      <w:r w:rsidR="008812D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</w:t>
      </w:r>
      <w:r w:rsidR="00586BE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°C</w:t>
      </w:r>
    </w:p>
    <w:p w:rsidR="0056416C" w:rsidRPr="00AF220E" w:rsidRDefault="0056416C" w:rsidP="005C0415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Налаштуйте прилад на нуль </w:t>
      </w:r>
      <w:r w:rsidR="007F3A3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дистильованою водою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56416C" w:rsidRPr="00AF220E" w:rsidRDefault="0056416C" w:rsidP="005C0415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Додайте піпеткою в кювету</w:t>
      </w:r>
    </w:p>
    <w:tbl>
      <w:tblPr>
        <w:tblStyle w:val="a5"/>
        <w:tblW w:w="2828" w:type="dxa"/>
        <w:tblLook w:val="04A0" w:firstRow="1" w:lastRow="0" w:firstColumn="1" w:lastColumn="0" w:noHBand="0" w:noVBand="1"/>
      </w:tblPr>
      <w:tblGrid>
        <w:gridCol w:w="1821"/>
        <w:gridCol w:w="1007"/>
      </w:tblGrid>
      <w:tr w:rsidR="00FB252A" w:rsidRPr="00AF220E" w:rsidTr="00FB252A">
        <w:tc>
          <w:tcPr>
            <w:tcW w:w="1821" w:type="dxa"/>
          </w:tcPr>
          <w:p w:rsidR="00FB252A" w:rsidRPr="00AF220E" w:rsidRDefault="00FB252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WR ( мл)</w:t>
            </w:r>
          </w:p>
        </w:tc>
        <w:tc>
          <w:tcPr>
            <w:tcW w:w="1007" w:type="dxa"/>
          </w:tcPr>
          <w:p w:rsidR="00FB252A" w:rsidRPr="00AF220E" w:rsidRDefault="00FB252A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</w:tr>
      <w:tr w:rsidR="00FB252A" w:rsidRPr="00AF220E" w:rsidTr="00FB252A">
        <w:tc>
          <w:tcPr>
            <w:tcW w:w="1821" w:type="dxa"/>
          </w:tcPr>
          <w:p w:rsidR="00FB252A" w:rsidRPr="00AF220E" w:rsidRDefault="00FB252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 (</w:t>
            </w: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мкл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1007" w:type="dxa"/>
          </w:tcPr>
          <w:p w:rsidR="00FB252A" w:rsidRPr="00AF220E" w:rsidRDefault="00FB252A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100</w:t>
            </w:r>
          </w:p>
        </w:tc>
      </w:tr>
    </w:tbl>
    <w:p w:rsidR="00D96D4B" w:rsidRPr="00AF220E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71458E" w:rsidRPr="00AF220E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</w:t>
      </w:r>
      <w:r w:rsidR="00FB252A" w:rsidRPr="00AF220E">
        <w:rPr>
          <w:rFonts w:asciiTheme="minorHAnsi" w:hAnsiTheme="minorHAnsi" w:cstheme="minorHAnsi"/>
          <w:sz w:val="18"/>
          <w:szCs w:val="18"/>
          <w:lang w:val="uk-UA"/>
        </w:rPr>
        <w:t>інкубуйте протягом 1</w:t>
      </w:r>
      <w:r w:rsidR="0012517C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хвилин</w:t>
      </w:r>
      <w:r w:rsidR="00FB252A" w:rsidRPr="00AF220E">
        <w:rPr>
          <w:rFonts w:asciiTheme="minorHAnsi" w:hAnsiTheme="minorHAnsi" w:cstheme="minorHAnsi"/>
          <w:sz w:val="18"/>
          <w:szCs w:val="18"/>
          <w:lang w:val="uk-UA"/>
        </w:rPr>
        <w:t>и</w:t>
      </w:r>
    </w:p>
    <w:p w:rsidR="0056416C" w:rsidRPr="00AF220E" w:rsidRDefault="00D104E5" w:rsidP="00986C81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jc w:val="both"/>
        <w:rPr>
          <w:rFonts w:asciiTheme="minorHAnsi" w:eastAsia="Arial Unicode MS" w:hAnsiTheme="minorHAnsi" w:cstheme="minorHAnsi"/>
          <w:color w:val="000000"/>
          <w:spacing w:val="-3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Зчитайте</w:t>
      </w:r>
      <w:r w:rsidR="00934FAA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FB252A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первинну </w:t>
      </w:r>
      <w:r w:rsidR="00372693" w:rsidRPr="00AF220E">
        <w:rPr>
          <w:rFonts w:asciiTheme="minorHAnsi" w:hAnsiTheme="minorHAnsi" w:cstheme="minorHAnsi"/>
          <w:sz w:val="18"/>
          <w:szCs w:val="18"/>
          <w:lang w:val="uk-UA"/>
        </w:rPr>
        <w:t>абсорбцію (А)</w:t>
      </w:r>
      <w:r w:rsidR="0012517C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проби</w:t>
      </w:r>
      <w:r w:rsidR="00FB252A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, увімкніть таймер та зчитайте абсорбцію з інтервалами 1 хвилини, потім через 3 хвилини. </w:t>
      </w:r>
    </w:p>
    <w:p w:rsidR="00FB252A" w:rsidRPr="00AF220E" w:rsidRDefault="001E5B24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Theme="minorHAnsi" w:eastAsia="Arial Unicode MS" w:hAnsiTheme="minorHAnsi" w:cstheme="minorHAnsi"/>
          <w:color w:val="000000"/>
          <w:spacing w:val="-3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Розрахуйте різницю між абсорбцією та середньою абсорбцією за хвилину (ΔА/</w:t>
      </w:r>
      <w:proofErr w:type="spellStart"/>
      <w:r w:rsidRPr="00AF220E">
        <w:rPr>
          <w:rFonts w:asciiTheme="minorHAnsi" w:hAnsiTheme="minorHAnsi" w:cstheme="minorHAnsi"/>
          <w:sz w:val="18"/>
          <w:szCs w:val="18"/>
          <w:lang w:val="uk-UA"/>
        </w:rPr>
        <w:t>хвил</w:t>
      </w:r>
      <w:proofErr w:type="spellEnd"/>
      <w:r w:rsidRPr="00AF220E">
        <w:rPr>
          <w:rFonts w:asciiTheme="minorHAnsi" w:hAnsiTheme="minorHAnsi" w:cstheme="minorHAnsi"/>
          <w:sz w:val="18"/>
          <w:szCs w:val="18"/>
          <w:lang w:val="uk-UA"/>
        </w:rPr>
        <w:t>.).</w:t>
      </w:r>
    </w:p>
    <w:p w:rsidR="00E80859" w:rsidRPr="00AF220E" w:rsidRDefault="00E80859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Theme="minorHAnsi" w:eastAsia="Arial Unicode MS" w:hAnsiTheme="minorHAnsi" w:cstheme="minorHAnsi"/>
          <w:color w:val="000000"/>
          <w:spacing w:val="-3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Утил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ізуйте всі зразки та матеріали, які </w:t>
      </w:r>
      <w:r w:rsidRPr="00AF220E">
        <w:rPr>
          <w:rFonts w:asciiTheme="minorHAnsi" w:hAnsiTheme="minorHAnsi" w:cstheme="minorHAnsi"/>
          <w:color w:val="000000"/>
          <w:spacing w:val="20"/>
          <w:sz w:val="18"/>
          <w:szCs w:val="18"/>
          <w:lang w:val="uk-UA" w:bidi="en-US"/>
        </w:rPr>
        <w:t>використовувались для проведення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випробування, як біологічно небезпечні відходи.</w:t>
      </w:r>
    </w:p>
    <w:bookmarkEnd w:id="0"/>
    <w:p w:rsidR="00586BEB" w:rsidRPr="00AF220E" w:rsidRDefault="00586BEB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86C81" w:rsidRPr="00AF220E" w:rsidRDefault="00986C81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AF220E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</w:t>
      </w:r>
      <w:r w:rsidR="006E746B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ОЗРАХУНКИ</w:t>
      </w:r>
    </w:p>
    <w:p w:rsidR="00642C57" w:rsidRPr="00AF220E" w:rsidRDefault="001E5B24" w:rsidP="001E5B24">
      <w:pPr>
        <w:pStyle w:val="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sz w:val="18"/>
          <w:szCs w:val="18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ΔА/</w:t>
      </w:r>
      <w:proofErr w:type="spellStart"/>
      <w:r w:rsidRPr="00AF220E">
        <w:rPr>
          <w:rFonts w:asciiTheme="minorHAnsi" w:hAnsiTheme="minorHAnsi" w:cstheme="minorHAnsi"/>
          <w:sz w:val="18"/>
          <w:szCs w:val="18"/>
          <w:lang w:val="uk-UA"/>
        </w:rPr>
        <w:t>хвил</w:t>
      </w:r>
      <w:proofErr w:type="spellEnd"/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. </w:t>
      </w:r>
      <w:r w:rsidR="00986C81" w:rsidRPr="00AF220E">
        <w:rPr>
          <w:rFonts w:asciiTheme="minorHAnsi" w:hAnsiTheme="minorHAnsi" w:cstheme="minorHAnsi"/>
          <w:sz w:val="18"/>
          <w:szCs w:val="18"/>
          <w:lang w:val="uk-UA"/>
        </w:rPr>
        <w:t>х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1750 = Од/л AST</w:t>
      </w:r>
    </w:p>
    <w:p w:rsidR="0087607D" w:rsidRPr="00AF220E" w:rsidRDefault="0087607D" w:rsidP="001E5B24">
      <w:pPr>
        <w:pStyle w:val="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B24DED" w:rsidRPr="00AF220E" w:rsidRDefault="001E5B24" w:rsidP="00986C81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b/>
          <w:sz w:val="18"/>
          <w:szCs w:val="18"/>
          <w:lang w:val="uk-UA"/>
        </w:rPr>
        <w:lastRenderedPageBreak/>
        <w:t xml:space="preserve">Одиниці: </w:t>
      </w:r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Одна міжнародна одиниця (Од) — це кількість ферменту, яка перетворює 1 </w:t>
      </w:r>
      <w:proofErr w:type="spellStart"/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мкмоль</w:t>
      </w:r>
      <w:proofErr w:type="spellEnd"/>
      <w:r w:rsidR="00986C81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субстрату за хвилину в стандартних умовах. Концентрація виражається в одиницях на літр проби (Од/л).</w:t>
      </w:r>
    </w:p>
    <w:p w:rsidR="001E5B24" w:rsidRPr="00AF220E" w:rsidRDefault="001E5B24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AF220E">
        <w:rPr>
          <w:rStyle w:val="23"/>
          <w:rFonts w:asciiTheme="minorHAnsi" w:hAnsiTheme="minorHAnsi" w:cstheme="minorHAnsi"/>
          <w:bCs w:val="0"/>
          <w:sz w:val="18"/>
          <w:szCs w:val="18"/>
          <w:lang w:val="uk-UA"/>
        </w:rPr>
        <w:t xml:space="preserve">Температурний </w:t>
      </w:r>
      <w:r w:rsidR="00986C81" w:rsidRPr="00AF220E">
        <w:rPr>
          <w:rStyle w:val="23"/>
          <w:rFonts w:asciiTheme="minorHAnsi" w:hAnsiTheme="minorHAnsi" w:cstheme="minorHAnsi"/>
          <w:bCs w:val="0"/>
          <w:sz w:val="18"/>
          <w:szCs w:val="18"/>
          <w:lang w:val="uk-UA"/>
        </w:rPr>
        <w:t>к</w:t>
      </w:r>
      <w:r w:rsidR="00586BEB" w:rsidRPr="00AF220E">
        <w:rPr>
          <w:rStyle w:val="23"/>
          <w:rFonts w:asciiTheme="minorHAnsi" w:hAnsiTheme="minorHAnsi" w:cstheme="minorHAnsi"/>
          <w:bCs w:val="0"/>
          <w:sz w:val="18"/>
          <w:szCs w:val="18"/>
          <w:lang w:val="uk-UA"/>
        </w:rPr>
        <w:t>оеф</w:t>
      </w:r>
      <w:r w:rsidR="00B24DED" w:rsidRPr="00AF220E">
        <w:rPr>
          <w:rStyle w:val="23"/>
          <w:rFonts w:asciiTheme="minorHAnsi" w:hAnsiTheme="minorHAnsi" w:cstheme="minorHAnsi"/>
          <w:bCs w:val="0"/>
          <w:sz w:val="18"/>
          <w:szCs w:val="18"/>
          <w:lang w:val="uk-UA"/>
        </w:rPr>
        <w:t>іцієнт перерахунку</w:t>
      </w:r>
      <w:r w:rsidR="00440AFE" w:rsidRPr="00AF220E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: </w:t>
      </w:r>
    </w:p>
    <w:p w:rsidR="00B80413" w:rsidRPr="00AF220E" w:rsidRDefault="001E5B24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AF220E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Щоб скоригувати результати до інших температур, помножте на: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0"/>
        <w:gridCol w:w="1220"/>
      </w:tblGrid>
      <w:tr w:rsidR="00986C81" w:rsidRPr="00AF220E" w:rsidTr="000D7BCF">
        <w:tc>
          <w:tcPr>
            <w:tcW w:w="1219" w:type="dxa"/>
            <w:vMerge w:val="restart"/>
          </w:tcPr>
          <w:p w:rsidR="00986C81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Температура</w:t>
            </w:r>
          </w:p>
          <w:p w:rsidR="0087607D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аналізу</w:t>
            </w:r>
          </w:p>
        </w:tc>
        <w:tc>
          <w:tcPr>
            <w:tcW w:w="3660" w:type="dxa"/>
            <w:gridSpan w:val="3"/>
          </w:tcPr>
          <w:p w:rsidR="00986C81" w:rsidRPr="00AF220E" w:rsidRDefault="00986C81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Коефіцієнт перерахунку до</w:t>
            </w:r>
          </w:p>
        </w:tc>
      </w:tr>
      <w:tr w:rsidR="00986C81" w:rsidRPr="00AF220E" w:rsidTr="001E5B24">
        <w:tc>
          <w:tcPr>
            <w:tcW w:w="1219" w:type="dxa"/>
            <w:vMerge/>
          </w:tcPr>
          <w:p w:rsidR="00986C81" w:rsidRPr="00AF220E" w:rsidRDefault="00986C81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</w:tcPr>
          <w:p w:rsidR="00986C81" w:rsidRPr="00AF220E" w:rsidRDefault="00986C81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AF220E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986C81" w:rsidRPr="00AF220E" w:rsidRDefault="00986C81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30</w:t>
            </w:r>
            <w:r w:rsidRPr="00AF220E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986C81" w:rsidRPr="00AF220E" w:rsidRDefault="00986C81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AF220E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</w:tr>
      <w:tr w:rsidR="001E5B24" w:rsidRPr="00AF220E" w:rsidTr="001E5B24">
        <w:tc>
          <w:tcPr>
            <w:tcW w:w="1219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AF220E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220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1,37</w:t>
            </w:r>
          </w:p>
        </w:tc>
        <w:tc>
          <w:tcPr>
            <w:tcW w:w="1220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2,08</w:t>
            </w:r>
          </w:p>
        </w:tc>
      </w:tr>
      <w:tr w:rsidR="001E5B24" w:rsidRPr="00AF220E" w:rsidTr="001E5B24">
        <w:tc>
          <w:tcPr>
            <w:tcW w:w="1219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30</w:t>
            </w:r>
            <w:r w:rsidRPr="00AF220E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0,73</w:t>
            </w:r>
          </w:p>
        </w:tc>
        <w:tc>
          <w:tcPr>
            <w:tcW w:w="1220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220" w:type="dxa"/>
          </w:tcPr>
          <w:p w:rsidR="001E5B24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1,54</w:t>
            </w:r>
          </w:p>
        </w:tc>
      </w:tr>
      <w:tr w:rsidR="0087607D" w:rsidRPr="00AF220E" w:rsidTr="001E5B24">
        <w:tc>
          <w:tcPr>
            <w:tcW w:w="1219" w:type="dxa"/>
          </w:tcPr>
          <w:p w:rsidR="0087607D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AF220E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87607D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0,48</w:t>
            </w:r>
          </w:p>
        </w:tc>
        <w:tc>
          <w:tcPr>
            <w:tcW w:w="1220" w:type="dxa"/>
          </w:tcPr>
          <w:p w:rsidR="0087607D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0,65</w:t>
            </w:r>
          </w:p>
        </w:tc>
        <w:tc>
          <w:tcPr>
            <w:tcW w:w="1220" w:type="dxa"/>
          </w:tcPr>
          <w:p w:rsidR="0087607D" w:rsidRPr="00AF220E" w:rsidRDefault="0087607D" w:rsidP="00D104E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AF220E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</w:tr>
    </w:tbl>
    <w:p w:rsidR="00372693" w:rsidRPr="00AF220E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933624" w:rsidRPr="00AF220E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AF220E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80413" w:rsidRPr="00AF220E" w:rsidRDefault="00B80413" w:rsidP="00B8041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B80413" w:rsidRPr="00AF220E" w:rsidRDefault="00B80413" w:rsidP="00B8041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              Нормальний і патологічний </w:t>
      </w:r>
      <w:r w:rsidRPr="00AF220E">
        <w:rPr>
          <w:rFonts w:asciiTheme="minorHAnsi" w:hAnsiTheme="minorHAnsi" w:cstheme="minorHAnsi"/>
          <w:caps/>
          <w:sz w:val="18"/>
          <w:szCs w:val="18"/>
          <w:lang w:val="uk-UA"/>
        </w:rPr>
        <w:t>контроль</w:t>
      </w: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(MO-165107 і MO-165108).</w:t>
      </w:r>
    </w:p>
    <w:p w:rsidR="00B80413" w:rsidRPr="00AF220E" w:rsidRDefault="00B80413" w:rsidP="00B8041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</w:t>
      </w:r>
      <w:proofErr w:type="spellStart"/>
      <w:r w:rsidRPr="00AF220E">
        <w:rPr>
          <w:rFonts w:asciiTheme="minorHAnsi" w:hAnsiTheme="minorHAnsi" w:cstheme="minorHAnsi"/>
          <w:sz w:val="18"/>
          <w:szCs w:val="18"/>
          <w:lang w:val="uk-UA"/>
        </w:rPr>
        <w:t>калібратор</w:t>
      </w:r>
      <w:proofErr w:type="spellEnd"/>
      <w:r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на наявність проблем.</w:t>
      </w:r>
    </w:p>
    <w:p w:rsidR="00B80413" w:rsidRPr="00AF220E" w:rsidRDefault="00B80413" w:rsidP="00B8041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AF220E" w:rsidRDefault="0071458E" w:rsidP="00F83D84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AF220E" w:rsidRDefault="00E80859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РЕФЕРЕНТН</w:t>
      </w:r>
      <w:r w:rsidR="006E746B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 ЗНАЧЕНН</w:t>
      </w:r>
      <w:r w:rsidR="00B61347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  <w:r w:rsidR="001819AA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9081E" w:rsidRPr="00AF220E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1E5B24" w:rsidRPr="00AF220E" w:rsidRDefault="0087607D" w:rsidP="001E5B24">
      <w:pPr>
        <w:pStyle w:val="20"/>
        <w:shd w:val="clear" w:color="auto" w:fill="auto"/>
        <w:tabs>
          <w:tab w:val="left" w:pos="2624"/>
          <w:tab w:val="left" w:pos="347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                          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25°C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30°C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37°C</w:t>
      </w:r>
    </w:p>
    <w:p w:rsidR="001E5B24" w:rsidRPr="00AF220E" w:rsidRDefault="0087607D" w:rsidP="001E5B24">
      <w:pPr>
        <w:pStyle w:val="20"/>
        <w:shd w:val="clear" w:color="auto" w:fill="auto"/>
        <w:tabs>
          <w:tab w:val="left" w:pos="1367"/>
          <w:tab w:val="left" w:pos="2534"/>
          <w:tab w:val="left" w:pos="3378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Чоловік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19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Од/л  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26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38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</w:p>
    <w:p w:rsidR="001E5B24" w:rsidRPr="00AF220E" w:rsidRDefault="0087607D" w:rsidP="001E5B24">
      <w:pPr>
        <w:pStyle w:val="20"/>
        <w:shd w:val="clear" w:color="auto" w:fill="auto"/>
        <w:tabs>
          <w:tab w:val="left" w:pos="1377"/>
          <w:tab w:val="left" w:pos="2543"/>
          <w:tab w:val="left" w:pos="3388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Жінка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 16 Од/л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22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31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</w:p>
    <w:p w:rsidR="001E5B24" w:rsidRPr="00AF220E" w:rsidRDefault="001E5B24" w:rsidP="001E5B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B80413" w:rsidRPr="00AF220E" w:rsidRDefault="00B80413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 значе</w:t>
      </w:r>
      <w:r w:rsidR="0012517C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ння призначені для орієнтації; к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AF220E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AF220E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AF220E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AF220E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AF220E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C675A" w:rsidRPr="00AF220E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Style w:val="23"/>
          <w:rFonts w:asciiTheme="minorHAnsi" w:hAnsiTheme="minorHAnsi" w:cstheme="minorHAnsi"/>
          <w:sz w:val="18"/>
          <w:szCs w:val="18"/>
          <w:lang w:val="uk-UA"/>
        </w:rPr>
        <w:t>Діапазон вимірювання</w:t>
      </w:r>
      <w:r w:rsidR="007C675A" w:rsidRPr="00AF220E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 Од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="00642C57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F83D8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46</w:t>
      </w:r>
      <w:r w:rsidR="0087607D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7 </w:t>
      </w:r>
      <w:r w:rsidR="001E5B2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="00642C57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59081E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87607D" w:rsidRPr="00AF220E" w:rsidRDefault="0087607D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 xml:space="preserve">Якщо отримані результати перевищують границю лінійності, </w:t>
      </w:r>
      <w:proofErr w:type="spellStart"/>
      <w:r w:rsidRPr="00AF220E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розбавте</w:t>
      </w:r>
      <w:proofErr w:type="spellEnd"/>
      <w:r w:rsidRPr="00AF220E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 xml:space="preserve"> пробу 1/10 </w:t>
      </w:r>
      <w:proofErr w:type="spellStart"/>
      <w:r w:rsidRPr="00AF220E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NaCl</w:t>
      </w:r>
      <w:proofErr w:type="spellEnd"/>
      <w:r w:rsidRPr="00AF220E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 xml:space="preserve"> 9 г/л і помножте результат на 10.</w:t>
      </w:r>
    </w:p>
    <w:p w:rsidR="007C675A" w:rsidRPr="00AF220E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Достовірність</w:t>
      </w:r>
      <w:r w:rsidR="007C675A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AF220E" w:rsidTr="00B063B5">
        <w:trPr>
          <w:trHeight w:val="776"/>
        </w:trPr>
        <w:tc>
          <w:tcPr>
            <w:tcW w:w="2160" w:type="dxa"/>
          </w:tcPr>
          <w:p w:rsidR="007C675A" w:rsidRPr="00AF220E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AF220E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У межах процедури</w:t>
            </w:r>
            <w:r w:rsidR="007C675A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AF220E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Між процедурами</w:t>
            </w:r>
          </w:p>
          <w:p w:rsidR="007C675A" w:rsidRPr="00AF220E" w:rsidRDefault="007C675A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AF220E" w:rsidTr="001819AA">
        <w:tc>
          <w:tcPr>
            <w:tcW w:w="2160" w:type="dxa"/>
          </w:tcPr>
          <w:p w:rsidR="007C675A" w:rsidRPr="00AF220E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Значення (</w:t>
            </w:r>
            <w:r w:rsidR="001E5B24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Од</w:t>
            </w:r>
            <w:r w:rsidR="00B063B5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/</w:t>
            </w:r>
            <w:r w:rsidR="007C4136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л</w:t>
            </w:r>
            <w:r w:rsidR="007C675A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AF220E" w:rsidRDefault="001E5B24" w:rsidP="00AB2B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48,1</w:t>
            </w:r>
          </w:p>
        </w:tc>
        <w:tc>
          <w:tcPr>
            <w:tcW w:w="731" w:type="dxa"/>
          </w:tcPr>
          <w:p w:rsidR="007C675A" w:rsidRPr="00AF220E" w:rsidRDefault="001E5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159</w:t>
            </w:r>
          </w:p>
        </w:tc>
        <w:tc>
          <w:tcPr>
            <w:tcW w:w="606" w:type="dxa"/>
          </w:tcPr>
          <w:p w:rsidR="007C675A" w:rsidRPr="00AF220E" w:rsidRDefault="001E5B2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47,4</w:t>
            </w:r>
          </w:p>
        </w:tc>
        <w:tc>
          <w:tcPr>
            <w:tcW w:w="842" w:type="dxa"/>
          </w:tcPr>
          <w:p w:rsidR="007C675A" w:rsidRPr="00AF220E" w:rsidRDefault="001E5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156</w:t>
            </w:r>
          </w:p>
        </w:tc>
      </w:tr>
      <w:tr w:rsidR="007C675A" w:rsidRPr="00AF220E" w:rsidTr="001819AA">
        <w:tc>
          <w:tcPr>
            <w:tcW w:w="2160" w:type="dxa"/>
          </w:tcPr>
          <w:p w:rsidR="007C675A" w:rsidRPr="00AF220E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Середнєстатистичне</w:t>
            </w:r>
            <w:proofErr w:type="spellEnd"/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відхилення SD</w:t>
            </w:r>
          </w:p>
        </w:tc>
        <w:tc>
          <w:tcPr>
            <w:tcW w:w="731" w:type="dxa"/>
          </w:tcPr>
          <w:p w:rsidR="007C675A" w:rsidRPr="00AF220E" w:rsidRDefault="001E5B2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0,56</w:t>
            </w:r>
          </w:p>
        </w:tc>
        <w:tc>
          <w:tcPr>
            <w:tcW w:w="731" w:type="dxa"/>
          </w:tcPr>
          <w:p w:rsidR="007C675A" w:rsidRPr="00AF220E" w:rsidRDefault="001E5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0,57</w:t>
            </w:r>
          </w:p>
        </w:tc>
        <w:tc>
          <w:tcPr>
            <w:tcW w:w="606" w:type="dxa"/>
          </w:tcPr>
          <w:p w:rsidR="007C675A" w:rsidRPr="00AF220E" w:rsidRDefault="001E5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1,42</w:t>
            </w:r>
          </w:p>
        </w:tc>
        <w:tc>
          <w:tcPr>
            <w:tcW w:w="842" w:type="dxa"/>
          </w:tcPr>
          <w:p w:rsidR="007C675A" w:rsidRPr="00AF220E" w:rsidRDefault="001E5B2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4,35</w:t>
            </w:r>
          </w:p>
        </w:tc>
      </w:tr>
      <w:tr w:rsidR="007C675A" w:rsidRPr="00AF220E" w:rsidTr="001819AA">
        <w:tc>
          <w:tcPr>
            <w:tcW w:w="2160" w:type="dxa"/>
          </w:tcPr>
          <w:p w:rsidR="007C675A" w:rsidRPr="00AF220E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AF220E" w:rsidRDefault="001E5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1,16</w:t>
            </w:r>
          </w:p>
        </w:tc>
        <w:tc>
          <w:tcPr>
            <w:tcW w:w="731" w:type="dxa"/>
          </w:tcPr>
          <w:p w:rsidR="007C675A" w:rsidRPr="00AF220E" w:rsidRDefault="001E5B2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0,36</w:t>
            </w:r>
          </w:p>
        </w:tc>
        <w:tc>
          <w:tcPr>
            <w:tcW w:w="606" w:type="dxa"/>
          </w:tcPr>
          <w:p w:rsidR="007C675A" w:rsidRPr="00AF220E" w:rsidRDefault="001E5B2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3,00</w:t>
            </w:r>
          </w:p>
        </w:tc>
        <w:tc>
          <w:tcPr>
            <w:tcW w:w="842" w:type="dxa"/>
          </w:tcPr>
          <w:p w:rsidR="007C675A" w:rsidRPr="00AF220E" w:rsidRDefault="001E5B2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AF220E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2,79</w:t>
            </w:r>
          </w:p>
        </w:tc>
      </w:tr>
    </w:tbl>
    <w:p w:rsidR="00B61347" w:rsidRPr="00AF220E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7607D" w:rsidRPr="00AF220E" w:rsidRDefault="00B70A34" w:rsidP="001C1DE9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color w:val="auto"/>
          <w:sz w:val="18"/>
          <w:szCs w:val="18"/>
          <w:shd w:val="clear" w:color="auto" w:fill="auto"/>
          <w:lang w:val="uk-UA" w:bidi="ar-SA"/>
        </w:rPr>
      </w:pPr>
      <w:r w:rsidRPr="00AF220E">
        <w:rPr>
          <w:rStyle w:val="23"/>
          <w:rFonts w:asciiTheme="minorHAnsi" w:hAnsiTheme="minorHAnsi" w:cstheme="minorHAnsi"/>
          <w:sz w:val="18"/>
          <w:szCs w:val="18"/>
          <w:lang w:val="uk-UA"/>
        </w:rPr>
        <w:t>Чутливіст</w:t>
      </w:r>
      <w:r w:rsidR="00897DA5" w:rsidRPr="00AF220E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ь: </w:t>
      </w:r>
      <w:r w:rsidR="007C675A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1 </w:t>
      </w:r>
      <w:r w:rsidR="001E5B24" w:rsidRPr="00AF220E">
        <w:rPr>
          <w:rFonts w:asciiTheme="minorHAnsi" w:hAnsiTheme="minorHAnsi" w:cstheme="minorHAnsi"/>
          <w:sz w:val="18"/>
          <w:szCs w:val="18"/>
          <w:lang w:val="uk-UA"/>
        </w:rPr>
        <w:t>Од</w:t>
      </w:r>
      <w:r w:rsidR="00A121D5" w:rsidRPr="00AF220E">
        <w:rPr>
          <w:rFonts w:asciiTheme="minorHAnsi" w:hAnsiTheme="minorHAnsi" w:cstheme="minorHAnsi"/>
          <w:sz w:val="18"/>
          <w:szCs w:val="18"/>
          <w:lang w:val="uk-UA"/>
        </w:rPr>
        <w:t>/</w:t>
      </w:r>
      <w:r w:rsidR="00BF4346" w:rsidRPr="00AF220E">
        <w:rPr>
          <w:rFonts w:asciiTheme="minorHAnsi" w:hAnsiTheme="minorHAnsi" w:cstheme="minorHAnsi"/>
          <w:sz w:val="18"/>
          <w:szCs w:val="18"/>
          <w:lang w:val="uk-UA"/>
        </w:rPr>
        <w:t>л</w:t>
      </w:r>
      <w:r w:rsidR="00F83D84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=0,0</w:t>
      </w:r>
      <w:r w:rsidR="001E5B24" w:rsidRPr="00AF220E">
        <w:rPr>
          <w:rFonts w:asciiTheme="minorHAnsi" w:hAnsiTheme="minorHAnsi" w:cstheme="minorHAnsi"/>
          <w:sz w:val="18"/>
          <w:szCs w:val="18"/>
          <w:lang w:val="uk-UA"/>
        </w:rPr>
        <w:t>0053</w:t>
      </w:r>
      <w:r w:rsidR="00D726C7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440AFE" w:rsidRPr="00AF220E">
        <w:rPr>
          <w:rFonts w:asciiTheme="minorHAnsi" w:hAnsiTheme="minorHAnsi" w:cstheme="minorHAnsi"/>
          <w:sz w:val="18"/>
          <w:szCs w:val="18"/>
          <w:lang w:val="uk-UA"/>
        </w:rPr>
        <w:t>(</w:t>
      </w:r>
      <w:r w:rsidR="001C1DE9" w:rsidRPr="00AF220E">
        <w:rPr>
          <w:rFonts w:asciiTheme="minorHAnsi" w:hAnsiTheme="minorHAnsi" w:cstheme="minorHAnsi"/>
          <w:sz w:val="18"/>
          <w:szCs w:val="18"/>
          <w:lang w:val="uk-UA"/>
        </w:rPr>
        <w:t>Δ</w:t>
      </w:r>
      <w:r w:rsidR="007C675A" w:rsidRPr="00AF220E">
        <w:rPr>
          <w:rFonts w:asciiTheme="minorHAnsi" w:hAnsiTheme="minorHAnsi" w:cstheme="minorHAnsi"/>
          <w:sz w:val="18"/>
          <w:szCs w:val="18"/>
          <w:lang w:val="uk-UA"/>
        </w:rPr>
        <w:t>А</w:t>
      </w:r>
      <w:r w:rsidR="001C1DE9" w:rsidRPr="00AF220E">
        <w:rPr>
          <w:rFonts w:asciiTheme="minorHAnsi" w:hAnsiTheme="minorHAnsi" w:cstheme="minorHAnsi"/>
          <w:sz w:val="18"/>
          <w:szCs w:val="18"/>
          <w:lang w:val="uk-UA"/>
        </w:rPr>
        <w:t>/</w:t>
      </w:r>
      <w:proofErr w:type="spellStart"/>
      <w:r w:rsidR="001C1DE9" w:rsidRPr="00AF220E">
        <w:rPr>
          <w:rFonts w:asciiTheme="minorHAnsi" w:hAnsiTheme="minorHAnsi" w:cstheme="minorHAnsi"/>
          <w:sz w:val="18"/>
          <w:szCs w:val="18"/>
          <w:lang w:val="uk-UA"/>
        </w:rPr>
        <w:t>хвил</w:t>
      </w:r>
      <w:proofErr w:type="spellEnd"/>
      <w:r w:rsidR="001C1DE9" w:rsidRPr="00AF220E">
        <w:rPr>
          <w:rFonts w:asciiTheme="minorHAnsi" w:hAnsiTheme="minorHAnsi" w:cstheme="minorHAnsi"/>
          <w:sz w:val="18"/>
          <w:szCs w:val="18"/>
          <w:lang w:val="uk-UA"/>
        </w:rPr>
        <w:t>.</w:t>
      </w:r>
      <w:r w:rsidR="00440AFE" w:rsidRPr="00AF220E">
        <w:rPr>
          <w:rFonts w:asciiTheme="minorHAnsi" w:hAnsiTheme="minorHAnsi" w:cstheme="minorHAnsi"/>
          <w:sz w:val="18"/>
          <w:szCs w:val="18"/>
          <w:lang w:val="uk-UA"/>
        </w:rPr>
        <w:t>).</w:t>
      </w:r>
    </w:p>
    <w:p w:rsidR="0087607D" w:rsidRPr="00AF220E" w:rsidRDefault="0087607D" w:rsidP="001C1DE9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</w:p>
    <w:p w:rsidR="0087607D" w:rsidRPr="00AF220E" w:rsidRDefault="00A121D5" w:rsidP="0087607D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Style w:val="23"/>
          <w:rFonts w:asciiTheme="minorHAnsi" w:hAnsiTheme="minorHAnsi" w:cstheme="minorHAnsi"/>
          <w:sz w:val="18"/>
          <w:szCs w:val="18"/>
          <w:lang w:val="uk-UA"/>
        </w:rPr>
        <w:t>Точність:</w:t>
      </w:r>
      <w:r w:rsidR="00AB2B24" w:rsidRPr="00AF220E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87607D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Результати, отримані з використанням реагентів </w:t>
      </w:r>
      <w:proofErr w:type="spellStart"/>
      <w:r w:rsidR="0087607D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MonlabTest</w:t>
      </w:r>
      <w:proofErr w:type="spellEnd"/>
      <w:r w:rsidR="0087607D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(y), не показали систематичних відмінностей у порівнянні з іншими комерційними реагентами (x).</w:t>
      </w:r>
    </w:p>
    <w:p w:rsidR="0087607D" w:rsidRPr="00AF220E" w:rsidRDefault="0087607D" w:rsidP="0087607D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50 зразків, були такими:</w:t>
      </w:r>
    </w:p>
    <w:p w:rsidR="004B172B" w:rsidRPr="00AF220E" w:rsidRDefault="00A121D5" w:rsidP="0087607D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Коефіціє</w:t>
      </w:r>
      <w:r w:rsidR="004B172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нт коре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647C6E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я</w:t>
      </w:r>
      <w:r w:rsidR="004B172B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ції (r)</w:t>
      </w:r>
      <w:r w:rsidR="004B172B" w:rsidRPr="00AF220E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="001C1DE9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=0,99956</w:t>
      </w:r>
      <w:r w:rsidR="00A50034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EC2B33" w:rsidRPr="00AF220E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1C1DE9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1,042</w:t>
      </w:r>
      <w:r w:rsidR="00A121D5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</w:t>
      </w: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1C1DE9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-0,342</w:t>
      </w:r>
      <w:r w:rsidR="00A121D5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7C675A" w:rsidRPr="00AF220E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AF220E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AF220E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1C1DE9" w:rsidRPr="00AF220E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87607D" w:rsidRPr="00AF220E" w:rsidRDefault="0087607D" w:rsidP="0087607D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AF220E">
        <w:rPr>
          <w:rFonts w:eastAsia="Tahoma" w:cstheme="minorHAnsi"/>
          <w:color w:val="000000"/>
          <w:sz w:val="18"/>
          <w:szCs w:val="18"/>
          <w:lang w:val="uk-UA" w:bidi="en-US"/>
        </w:rPr>
        <w:lastRenderedPageBreak/>
        <w:t>Антикоагулянти, які зараз використовуються, такі як гепарин, EDTA, оксалат і фтор, не впливають на результати. Гемоліз заважає аналізу</w:t>
      </w:r>
      <w:r w:rsidRPr="00AF220E">
        <w:rPr>
          <w:rFonts w:eastAsia="Tahoma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AF220E">
        <w:rPr>
          <w:rFonts w:eastAsia="Tahoma" w:cstheme="minorHAnsi"/>
          <w:color w:val="000000"/>
          <w:sz w:val="18"/>
          <w:szCs w:val="18"/>
          <w:lang w:val="uk-UA" w:bidi="en-US"/>
        </w:rPr>
        <w:t>.</w:t>
      </w:r>
    </w:p>
    <w:p w:rsidR="00D733F7" w:rsidRPr="00AF220E" w:rsidRDefault="0087607D" w:rsidP="0087607D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vertAlign w:val="superscript"/>
          <w:lang w:val="uk-UA" w:bidi="en-US"/>
        </w:rPr>
      </w:pPr>
      <w:r w:rsidRPr="00AF220E">
        <w:rPr>
          <w:rFonts w:eastAsia="Tahoma" w:cstheme="minorHAnsi"/>
          <w:color w:val="000000"/>
          <w:sz w:val="18"/>
          <w:szCs w:val="18"/>
          <w:lang w:val="uk-UA" w:bidi="en-US"/>
        </w:rPr>
        <w:t>Повідомляється про список лікарських засобів та інших речовин, що впливають на визначення AST</w:t>
      </w:r>
      <w:r w:rsidRPr="00AF220E">
        <w:rPr>
          <w:rFonts w:eastAsia="Tahoma" w:cstheme="minorHAnsi"/>
          <w:color w:val="000000"/>
          <w:sz w:val="18"/>
          <w:szCs w:val="18"/>
          <w:vertAlign w:val="superscript"/>
          <w:lang w:val="uk-UA" w:bidi="en-US"/>
        </w:rPr>
        <w:t>2,3.</w:t>
      </w:r>
    </w:p>
    <w:p w:rsidR="0087607D" w:rsidRPr="00AF220E" w:rsidRDefault="0087607D" w:rsidP="0087607D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</w:p>
    <w:p w:rsidR="00933624" w:rsidRPr="00AF220E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AF220E" w:rsidRDefault="00D726C7" w:rsidP="00A121D5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D733F7" w:rsidRPr="00AF220E" w:rsidRDefault="00E41777" w:rsidP="001C1DE9">
      <w:pPr>
        <w:pStyle w:val="aa"/>
        <w:spacing w:after="0" w:line="240" w:lineRule="auto"/>
        <w:ind w:left="0"/>
        <w:jc w:val="both"/>
        <w:rPr>
          <w:rFonts w:cstheme="minorHAnsi"/>
          <w:sz w:val="18"/>
          <w:szCs w:val="18"/>
          <w:lang w:val="uk-UA"/>
        </w:rPr>
      </w:pPr>
      <w:r w:rsidRPr="00AF220E">
        <w:rPr>
          <w:rFonts w:cstheme="minorHAnsi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AF220E">
        <w:rPr>
          <w:rFonts w:cstheme="minorHAnsi"/>
          <w:b/>
          <w:sz w:val="18"/>
          <w:szCs w:val="18"/>
          <w:lang w:val="uk-UA"/>
        </w:rPr>
        <w:t xml:space="preserve">. </w:t>
      </w:r>
    </w:p>
    <w:p w:rsidR="00D733F7" w:rsidRPr="00AF220E" w:rsidRDefault="00D733F7" w:rsidP="00D733F7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</w:p>
    <w:p w:rsidR="00933624" w:rsidRPr="00AF220E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БІ</w:t>
      </w:r>
      <w:r w:rsidR="00897DA5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БЛ</w:t>
      </w: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ОГРАФ</w:t>
      </w:r>
      <w:r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AF220E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</w:p>
    <w:p w:rsidR="00511BDE" w:rsidRPr="00AF220E" w:rsidRDefault="00511BDE" w:rsidP="00D733F7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1C1DE9" w:rsidRPr="00AF220E" w:rsidRDefault="001C1DE9" w:rsidP="001C1DE9">
      <w:pPr>
        <w:pStyle w:val="20"/>
        <w:numPr>
          <w:ilvl w:val="0"/>
          <w:numId w:val="41"/>
        </w:numPr>
        <w:shd w:val="clear" w:color="auto" w:fill="auto"/>
        <w:tabs>
          <w:tab w:val="left" w:pos="283"/>
        </w:tabs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Murray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R.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Aspartate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aminotransferase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Kaplan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The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Mosby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Co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St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Louis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Toronto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Princeton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1984; 1112-116.</w:t>
      </w:r>
    </w:p>
    <w:p w:rsidR="001C1DE9" w:rsidRPr="00AF220E" w:rsidRDefault="001C1DE9" w:rsidP="001C1DE9">
      <w:pPr>
        <w:pStyle w:val="20"/>
        <w:numPr>
          <w:ilvl w:val="0"/>
          <w:numId w:val="41"/>
        </w:numPr>
        <w:shd w:val="clear" w:color="auto" w:fill="auto"/>
        <w:tabs>
          <w:tab w:val="left" w:pos="278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drugs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Press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1995.</w:t>
      </w:r>
    </w:p>
    <w:p w:rsidR="001C1DE9" w:rsidRPr="00AF220E" w:rsidRDefault="001C1DE9" w:rsidP="001C1DE9">
      <w:pPr>
        <w:pStyle w:val="20"/>
        <w:numPr>
          <w:ilvl w:val="0"/>
          <w:numId w:val="41"/>
        </w:numPr>
        <w:shd w:val="clear" w:color="auto" w:fill="auto"/>
        <w:tabs>
          <w:tab w:val="left" w:pos="278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disease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2001.</w:t>
      </w:r>
    </w:p>
    <w:p w:rsidR="001C1DE9" w:rsidRPr="00AF220E" w:rsidRDefault="001C1DE9" w:rsidP="001C1DE9">
      <w:pPr>
        <w:pStyle w:val="20"/>
        <w:numPr>
          <w:ilvl w:val="0"/>
          <w:numId w:val="41"/>
        </w:numPr>
        <w:shd w:val="clear" w:color="auto" w:fill="auto"/>
        <w:tabs>
          <w:tab w:val="left" w:pos="288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Burtis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Textbook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Chemistry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1999.</w:t>
      </w:r>
    </w:p>
    <w:p w:rsidR="001C1DE9" w:rsidRPr="00AF220E" w:rsidRDefault="001C1DE9" w:rsidP="001C1DE9">
      <w:pPr>
        <w:pStyle w:val="20"/>
        <w:numPr>
          <w:ilvl w:val="0"/>
          <w:numId w:val="41"/>
        </w:numPr>
        <w:shd w:val="clear" w:color="auto" w:fill="auto"/>
        <w:tabs>
          <w:tab w:val="left" w:pos="26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Guide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Laboratory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1995.</w:t>
      </w:r>
    </w:p>
    <w:p w:rsidR="00957380" w:rsidRPr="00AF220E" w:rsidRDefault="00957380" w:rsidP="00511BDE">
      <w:pPr>
        <w:pStyle w:val="50"/>
        <w:shd w:val="clear" w:color="auto" w:fill="auto"/>
        <w:tabs>
          <w:tab w:val="left" w:pos="350"/>
        </w:tabs>
        <w:spacing w:before="0"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AF220E" w:rsidRDefault="006E746B" w:rsidP="005C0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ПАКУВАННЯ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1449"/>
      </w:tblGrid>
      <w:tr w:rsidR="00D733F7" w:rsidRPr="00AF220E" w:rsidTr="00D733F7">
        <w:trPr>
          <w:trHeight w:val="465"/>
        </w:trPr>
        <w:tc>
          <w:tcPr>
            <w:tcW w:w="1715" w:type="dxa"/>
          </w:tcPr>
          <w:p w:rsidR="00D733F7" w:rsidRPr="00AF220E" w:rsidRDefault="001C1DE9" w:rsidP="00957380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MO-165070</w:t>
            </w:r>
          </w:p>
        </w:tc>
        <w:tc>
          <w:tcPr>
            <w:tcW w:w="1715" w:type="dxa"/>
          </w:tcPr>
          <w:p w:rsidR="00D733F7" w:rsidRPr="00AF220E" w:rsidRDefault="00823EFC" w:rsidP="001C1DE9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MO-1650</w:t>
            </w:r>
            <w:r w:rsidR="001C1DE9" w:rsidRPr="00AF220E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71</w:t>
            </w:r>
          </w:p>
        </w:tc>
        <w:tc>
          <w:tcPr>
            <w:tcW w:w="1449" w:type="dxa"/>
          </w:tcPr>
          <w:p w:rsidR="00D733F7" w:rsidRPr="00AF220E" w:rsidRDefault="00823EFC" w:rsidP="001C1DE9">
            <w:pPr>
              <w:jc w:val="center"/>
              <w:rPr>
                <w:rFonts w:cstheme="minorHAnsi"/>
                <w:color w:val="000000"/>
                <w:sz w:val="18"/>
                <w:szCs w:val="18"/>
                <w:lang w:val="uk-UA" w:bidi="en-US"/>
              </w:rPr>
            </w:pPr>
            <w:r w:rsidRPr="00AF220E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MO-1652</w:t>
            </w:r>
            <w:r w:rsidR="001C1DE9" w:rsidRPr="00AF220E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15</w:t>
            </w:r>
          </w:p>
        </w:tc>
      </w:tr>
      <w:tr w:rsidR="00D733F7" w:rsidRPr="00AF220E" w:rsidTr="00D733F7">
        <w:tc>
          <w:tcPr>
            <w:tcW w:w="1715" w:type="dxa"/>
          </w:tcPr>
          <w:p w:rsidR="00D733F7" w:rsidRPr="00AF220E" w:rsidRDefault="001C1DE9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sz w:val="18"/>
                <w:szCs w:val="18"/>
                <w:lang w:val="uk-UA"/>
              </w:rPr>
              <w:t>R1: 1х60</w:t>
            </w:r>
            <w:r w:rsidR="00D733F7" w:rsidRPr="00AF220E">
              <w:rPr>
                <w:rFonts w:cstheme="minorHAnsi"/>
                <w:sz w:val="18"/>
                <w:szCs w:val="18"/>
                <w:lang w:val="uk-UA"/>
              </w:rPr>
              <w:t xml:space="preserve"> мл</w:t>
            </w:r>
          </w:p>
          <w:p w:rsidR="001C1DE9" w:rsidRPr="00AF220E" w:rsidRDefault="001C1DE9" w:rsidP="001C1DE9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sz w:val="18"/>
                <w:szCs w:val="18"/>
                <w:lang w:val="uk-UA"/>
              </w:rPr>
              <w:t>R2: 1х15 мл</w:t>
            </w:r>
          </w:p>
          <w:p w:rsidR="001C1DE9" w:rsidRPr="00AF220E" w:rsidRDefault="001C1DE9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D733F7" w:rsidRPr="00AF220E" w:rsidRDefault="00D733F7" w:rsidP="00511BDE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</w:tc>
        <w:tc>
          <w:tcPr>
            <w:tcW w:w="1715" w:type="dxa"/>
          </w:tcPr>
          <w:p w:rsidR="00D733F7" w:rsidRPr="00AF220E" w:rsidRDefault="00D733F7" w:rsidP="001731D1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sz w:val="18"/>
                <w:szCs w:val="18"/>
                <w:lang w:val="uk-UA"/>
              </w:rPr>
              <w:t>R</w:t>
            </w:r>
            <w:r w:rsidR="001C1DE9" w:rsidRPr="00AF220E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AF220E">
              <w:rPr>
                <w:rFonts w:cstheme="minorHAnsi"/>
                <w:sz w:val="18"/>
                <w:szCs w:val="18"/>
                <w:lang w:val="uk-UA"/>
              </w:rPr>
              <w:t>: 1х</w:t>
            </w:r>
            <w:r w:rsidR="001C1DE9" w:rsidRPr="00AF220E">
              <w:rPr>
                <w:rFonts w:cstheme="minorHAnsi"/>
                <w:sz w:val="18"/>
                <w:szCs w:val="18"/>
                <w:lang w:val="uk-UA"/>
              </w:rPr>
              <w:t>240</w:t>
            </w:r>
            <w:r w:rsidRPr="00AF220E">
              <w:rPr>
                <w:rFonts w:cstheme="minorHAnsi"/>
                <w:sz w:val="18"/>
                <w:szCs w:val="18"/>
                <w:lang w:val="uk-UA"/>
              </w:rPr>
              <w:t xml:space="preserve"> мл</w:t>
            </w:r>
          </w:p>
          <w:p w:rsidR="001C1DE9" w:rsidRPr="00AF220E" w:rsidRDefault="001C1DE9" w:rsidP="001C1DE9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sz w:val="18"/>
                <w:szCs w:val="18"/>
                <w:lang w:val="uk-UA"/>
              </w:rPr>
              <w:t>R2: 1х60 мл</w:t>
            </w:r>
          </w:p>
          <w:p w:rsidR="001C1DE9" w:rsidRPr="00AF220E" w:rsidRDefault="001C1DE9" w:rsidP="001731D1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</w:tc>
        <w:tc>
          <w:tcPr>
            <w:tcW w:w="1449" w:type="dxa"/>
          </w:tcPr>
          <w:p w:rsidR="00D733F7" w:rsidRPr="00AF220E" w:rsidRDefault="00823EFC" w:rsidP="001C1DE9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sz w:val="18"/>
                <w:szCs w:val="18"/>
                <w:lang w:val="uk-UA"/>
              </w:rPr>
              <w:t>R</w:t>
            </w:r>
            <w:r w:rsidR="001C1DE9" w:rsidRPr="00AF220E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AF220E">
              <w:rPr>
                <w:rFonts w:cstheme="minorHAnsi"/>
                <w:sz w:val="18"/>
                <w:szCs w:val="18"/>
                <w:lang w:val="uk-UA"/>
              </w:rPr>
              <w:t>: 4х</w:t>
            </w:r>
            <w:r w:rsidR="001C1DE9" w:rsidRPr="00AF220E">
              <w:rPr>
                <w:rFonts w:cstheme="minorHAnsi"/>
                <w:sz w:val="18"/>
                <w:szCs w:val="18"/>
                <w:lang w:val="uk-UA"/>
              </w:rPr>
              <w:t>10</w:t>
            </w:r>
            <w:r w:rsidRPr="00AF220E">
              <w:rPr>
                <w:rFonts w:cstheme="minorHAnsi"/>
                <w:sz w:val="18"/>
                <w:szCs w:val="18"/>
                <w:lang w:val="uk-UA"/>
              </w:rPr>
              <w:t>0 мл</w:t>
            </w:r>
          </w:p>
          <w:p w:rsidR="001C1DE9" w:rsidRPr="00AF220E" w:rsidRDefault="001C1DE9" w:rsidP="001C1DE9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AF220E">
              <w:rPr>
                <w:rFonts w:cstheme="minorHAnsi"/>
                <w:sz w:val="18"/>
                <w:szCs w:val="18"/>
                <w:lang w:val="uk-UA"/>
              </w:rPr>
              <w:t>R2: 1х100 мл</w:t>
            </w:r>
          </w:p>
          <w:p w:rsidR="001C1DE9" w:rsidRPr="00AF220E" w:rsidRDefault="001C1DE9" w:rsidP="001C1DE9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</w:tc>
      </w:tr>
    </w:tbl>
    <w:p w:rsidR="00933624" w:rsidRPr="00AF220E" w:rsidRDefault="00933624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840E69" w:rsidRPr="00AF220E" w:rsidRDefault="00897DA5" w:rsidP="005C04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И</w:t>
      </w: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ТА</w:t>
      </w: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AF220E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AF220E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AF220E" w:rsidRDefault="00A121D5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r w:rsidRPr="00AF220E">
        <w:rPr>
          <w:rFonts w:cstheme="minorHAnsi"/>
          <w:b/>
          <w:noProof/>
          <w:sz w:val="18"/>
          <w:szCs w:val="18"/>
          <w:lang w:val="uk-UA" w:eastAsia="uk-UA"/>
        </w:rPr>
        <w:drawing>
          <wp:inline distT="0" distB="0" distL="0" distR="0" wp14:anchorId="09C08805" wp14:editId="3A2EDA65">
            <wp:extent cx="3310700" cy="98107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55" cy="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AF220E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</w:p>
    <w:p w:rsidR="007C4136" w:rsidRPr="00AF220E" w:rsidRDefault="006E746B" w:rsidP="006A58E7">
      <w:pPr>
        <w:pStyle w:val="120"/>
        <w:shd w:val="clear" w:color="auto" w:fill="auto"/>
        <w:spacing w:line="240" w:lineRule="auto"/>
        <w:jc w:val="both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Style w:val="126pt"/>
          <w:rFonts w:asciiTheme="minorHAnsi" w:hAnsiTheme="minorHAnsi" w:cstheme="minorHAnsi"/>
          <w:sz w:val="18"/>
          <w:szCs w:val="18"/>
          <w:lang w:val="uk-UA"/>
        </w:rPr>
        <w:t>Посилання</w:t>
      </w:r>
      <w:r w:rsidR="006A58E7" w:rsidRPr="00AF220E">
        <w:rPr>
          <w:rStyle w:val="126pt"/>
          <w:rFonts w:asciiTheme="minorHAnsi" w:hAnsiTheme="minorHAnsi" w:cstheme="minorHAnsi"/>
          <w:sz w:val="18"/>
          <w:szCs w:val="18"/>
          <w:lang w:val="uk-UA"/>
        </w:rPr>
        <w:t>:</w:t>
      </w:r>
      <w:r w:rsidR="001C1DE9" w:rsidRPr="00AF220E">
        <w:rPr>
          <w:rFonts w:asciiTheme="minorHAnsi" w:hAnsiTheme="minorHAnsi" w:cstheme="minorHAnsi"/>
          <w:b w:val="0"/>
          <w:color w:val="000000"/>
          <w:sz w:val="18"/>
          <w:szCs w:val="18"/>
          <w:lang w:val="uk-UA" w:bidi="en-US"/>
        </w:rPr>
        <w:t>MO-165070/MO-165071</w:t>
      </w:r>
      <w:r w:rsidR="00511BDE" w:rsidRPr="00AF220E">
        <w:rPr>
          <w:rFonts w:asciiTheme="minorHAnsi" w:hAnsiTheme="minorHAnsi" w:cstheme="minorHAnsi"/>
          <w:b w:val="0"/>
          <w:color w:val="000000"/>
          <w:sz w:val="18"/>
          <w:szCs w:val="18"/>
          <w:lang w:val="uk-UA" w:bidi="en-US"/>
        </w:rPr>
        <w:t>/</w:t>
      </w:r>
      <w:r w:rsidR="00527CE3" w:rsidRPr="00AF220E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527CE3" w:rsidRPr="00AF220E">
        <w:rPr>
          <w:rFonts w:asciiTheme="minorHAnsi" w:hAnsiTheme="minorHAnsi" w:cstheme="minorHAnsi"/>
          <w:b w:val="0"/>
          <w:color w:val="000000"/>
          <w:sz w:val="18"/>
          <w:szCs w:val="18"/>
          <w:lang w:val="uk-UA" w:bidi="en-US"/>
        </w:rPr>
        <w:t>MO-1652</w:t>
      </w:r>
      <w:r w:rsidR="001C1DE9" w:rsidRPr="00AF220E">
        <w:rPr>
          <w:rFonts w:asciiTheme="minorHAnsi" w:hAnsiTheme="minorHAnsi" w:cstheme="minorHAnsi"/>
          <w:b w:val="0"/>
          <w:color w:val="000000"/>
          <w:sz w:val="18"/>
          <w:szCs w:val="18"/>
          <w:lang w:val="uk-UA" w:bidi="en-US"/>
        </w:rPr>
        <w:t>15</w:t>
      </w:r>
    </w:p>
    <w:p w:rsidR="004B144C" w:rsidRPr="00AF220E" w:rsidRDefault="008F32DD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AF220E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proofErr w:type="spellStart"/>
      <w:r w:rsidR="004B144C" w:rsidRPr="00AF220E">
        <w:rPr>
          <w:rFonts w:asciiTheme="minorHAnsi" w:hAnsiTheme="minorHAnsi" w:cstheme="minorHAnsi"/>
          <w:sz w:val="18"/>
          <w:szCs w:val="18"/>
          <w:lang w:val="uk-UA"/>
        </w:rPr>
        <w:t>Rev</w:t>
      </w:r>
      <w:proofErr w:type="spellEnd"/>
      <w:r w:rsidR="004B144C" w:rsidRPr="00AF220E">
        <w:rPr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="00527CE3" w:rsidRPr="00AF220E">
        <w:rPr>
          <w:rFonts w:asciiTheme="minorHAnsi" w:hAnsiTheme="minorHAnsi" w:cstheme="minorHAnsi"/>
          <w:sz w:val="18"/>
          <w:szCs w:val="18"/>
          <w:lang w:val="uk-UA"/>
        </w:rPr>
        <w:t>лютий 2019</w:t>
      </w:r>
    </w:p>
    <w:p w:rsidR="004B144C" w:rsidRPr="00AF220E" w:rsidRDefault="004B144C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4B144C" w:rsidRPr="00AF220E" w:rsidRDefault="004B144C" w:rsidP="004B144C">
      <w:pPr>
        <w:spacing w:after="0" w:line="240" w:lineRule="auto"/>
        <w:rPr>
          <w:rFonts w:cstheme="minorHAnsi"/>
          <w:sz w:val="18"/>
          <w:szCs w:val="18"/>
          <w:lang w:val="uk-UA"/>
        </w:rPr>
      </w:pPr>
      <w:proofErr w:type="spellStart"/>
      <w:r w:rsidRPr="00AF220E">
        <w:rPr>
          <w:rFonts w:cstheme="minorHAnsi"/>
          <w:sz w:val="18"/>
          <w:szCs w:val="18"/>
          <w:lang w:val="uk-UA"/>
        </w:rPr>
        <w:t>Monlab</w:t>
      </w:r>
      <w:proofErr w:type="spellEnd"/>
      <w:r w:rsidRPr="00AF220E">
        <w:rPr>
          <w:rFonts w:cstheme="minorHAnsi"/>
          <w:sz w:val="18"/>
          <w:szCs w:val="18"/>
          <w:lang w:val="uk-UA"/>
        </w:rPr>
        <w:t xml:space="preserve"> SL </w:t>
      </w:r>
      <w:r w:rsidR="006E746B" w:rsidRPr="00AF220E">
        <w:rPr>
          <w:rFonts w:cstheme="minorHAnsi"/>
          <w:sz w:val="18"/>
          <w:szCs w:val="18"/>
          <w:lang w:val="uk-UA"/>
        </w:rPr>
        <w:t>Сельва де Мар</w:t>
      </w:r>
      <w:r w:rsidRPr="00AF220E">
        <w:rPr>
          <w:rFonts w:cstheme="minorHAnsi"/>
          <w:sz w:val="18"/>
          <w:szCs w:val="18"/>
          <w:lang w:val="uk-UA"/>
        </w:rPr>
        <w:t xml:space="preserve"> 48 08019 </w:t>
      </w:r>
      <w:r w:rsidR="006E746B" w:rsidRPr="00AF220E">
        <w:rPr>
          <w:rFonts w:cstheme="minorHAnsi"/>
          <w:sz w:val="18"/>
          <w:szCs w:val="18"/>
          <w:lang w:val="uk-UA"/>
        </w:rPr>
        <w:t>Барселона</w:t>
      </w:r>
      <w:r w:rsidRPr="00AF220E">
        <w:rPr>
          <w:rFonts w:cstheme="minorHAnsi"/>
          <w:sz w:val="18"/>
          <w:szCs w:val="18"/>
          <w:lang w:val="uk-UA"/>
        </w:rPr>
        <w:t xml:space="preserve"> (</w:t>
      </w:r>
      <w:r w:rsidR="006E746B" w:rsidRPr="00AF220E">
        <w:rPr>
          <w:rFonts w:cstheme="minorHAnsi"/>
          <w:sz w:val="18"/>
          <w:szCs w:val="18"/>
          <w:lang w:val="uk-UA"/>
        </w:rPr>
        <w:t xml:space="preserve">Іспанія) </w:t>
      </w:r>
      <w:proofErr w:type="spellStart"/>
      <w:r w:rsidR="006E746B" w:rsidRPr="00AF220E">
        <w:rPr>
          <w:rFonts w:cstheme="minorHAnsi"/>
          <w:sz w:val="18"/>
          <w:szCs w:val="18"/>
          <w:lang w:val="uk-UA"/>
        </w:rPr>
        <w:t>тел</w:t>
      </w:r>
      <w:proofErr w:type="spellEnd"/>
      <w:r w:rsidRPr="00AF220E">
        <w:rPr>
          <w:rFonts w:cstheme="minorHAnsi"/>
          <w:sz w:val="18"/>
          <w:szCs w:val="18"/>
          <w:lang w:val="uk-UA"/>
        </w:rPr>
        <w:t xml:space="preserve">. +34 93 433 58 60 </w:t>
      </w:r>
      <w:r w:rsidR="006E746B" w:rsidRPr="00AF220E">
        <w:rPr>
          <w:rFonts w:cstheme="minorHAnsi"/>
          <w:sz w:val="18"/>
          <w:szCs w:val="18"/>
          <w:lang w:val="uk-UA"/>
        </w:rPr>
        <w:t>факс</w:t>
      </w:r>
      <w:r w:rsidRPr="00AF220E">
        <w:rPr>
          <w:rFonts w:cstheme="minorHAnsi"/>
          <w:sz w:val="18"/>
          <w:szCs w:val="18"/>
          <w:lang w:val="uk-UA"/>
        </w:rPr>
        <w:t xml:space="preserve"> +34 93 436 38 94 </w:t>
      </w:r>
      <w:r w:rsidRPr="00AF220E">
        <w:rPr>
          <w:rStyle w:val="110"/>
          <w:rFonts w:asciiTheme="minorHAnsi" w:hAnsiTheme="minorHAnsi" w:cstheme="minorHAnsi"/>
          <w:sz w:val="18"/>
          <w:szCs w:val="18"/>
          <w:lang w:val="uk-UA"/>
        </w:rPr>
        <w:t>p</w:t>
      </w:r>
      <w:hyperlink r:id="rId11" w:history="1">
        <w:r w:rsidRPr="00AF220E">
          <w:rPr>
            <w:rStyle w:val="a8"/>
            <w:rFonts w:cstheme="minorHAnsi"/>
            <w:sz w:val="18"/>
            <w:szCs w:val="18"/>
            <w:lang w:val="uk-UA"/>
          </w:rPr>
          <w:t>edidos@monlab.com</w:t>
        </w:r>
      </w:hyperlink>
      <w:r w:rsidRPr="00AF220E">
        <w:rPr>
          <w:rStyle w:val="110"/>
          <w:rFonts w:asciiTheme="minorHAnsi" w:hAnsiTheme="minorHAnsi" w:cstheme="minorHAnsi"/>
          <w:sz w:val="18"/>
          <w:szCs w:val="18"/>
          <w:lang w:val="uk-UA"/>
        </w:rPr>
        <w:t xml:space="preserve"> </w:t>
      </w:r>
      <w:hyperlink r:id="rId12" w:history="1">
        <w:r w:rsidRPr="00AF220E">
          <w:rPr>
            <w:rStyle w:val="a8"/>
            <w:rFonts w:cstheme="minorHAnsi"/>
            <w:sz w:val="18"/>
            <w:szCs w:val="18"/>
            <w:lang w:val="uk-UA"/>
          </w:rPr>
          <w:t>www.monlab.com</w:t>
        </w:r>
      </w:hyperlink>
    </w:p>
    <w:p w:rsidR="004B144C" w:rsidRPr="0087607D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87607D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87607D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75CB6"/>
    <w:multiLevelType w:val="multilevel"/>
    <w:tmpl w:val="011AC0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F1831"/>
    <w:multiLevelType w:val="multilevel"/>
    <w:tmpl w:val="785249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B42EC"/>
    <w:multiLevelType w:val="multilevel"/>
    <w:tmpl w:val="38184E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627319"/>
    <w:multiLevelType w:val="multilevel"/>
    <w:tmpl w:val="B0D0C4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1C40D0"/>
    <w:multiLevelType w:val="multilevel"/>
    <w:tmpl w:val="511630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CA1EE0"/>
    <w:multiLevelType w:val="multilevel"/>
    <w:tmpl w:val="6CD2124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42233B"/>
    <w:multiLevelType w:val="hybridMultilevel"/>
    <w:tmpl w:val="D2EC3540"/>
    <w:lvl w:ilvl="0" w:tplc="8672617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EC59FE"/>
    <w:multiLevelType w:val="multilevel"/>
    <w:tmpl w:val="7DBADD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885A81"/>
    <w:multiLevelType w:val="multilevel"/>
    <w:tmpl w:val="7A80FCC2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232D3B"/>
    <w:multiLevelType w:val="multilevel"/>
    <w:tmpl w:val="D6B0D5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ADB6628"/>
    <w:multiLevelType w:val="multilevel"/>
    <w:tmpl w:val="BEC2C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8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39"/>
  </w:num>
  <w:num w:numId="3">
    <w:abstractNumId w:val="28"/>
  </w:num>
  <w:num w:numId="4">
    <w:abstractNumId w:val="37"/>
  </w:num>
  <w:num w:numId="5">
    <w:abstractNumId w:val="1"/>
  </w:num>
  <w:num w:numId="6">
    <w:abstractNumId w:val="16"/>
  </w:num>
  <w:num w:numId="7">
    <w:abstractNumId w:val="35"/>
  </w:num>
  <w:num w:numId="8">
    <w:abstractNumId w:val="12"/>
  </w:num>
  <w:num w:numId="9">
    <w:abstractNumId w:val="9"/>
  </w:num>
  <w:num w:numId="10">
    <w:abstractNumId w:val="24"/>
  </w:num>
  <w:num w:numId="11">
    <w:abstractNumId w:val="10"/>
  </w:num>
  <w:num w:numId="12">
    <w:abstractNumId w:val="3"/>
  </w:num>
  <w:num w:numId="13">
    <w:abstractNumId w:val="32"/>
  </w:num>
  <w:num w:numId="14">
    <w:abstractNumId w:val="19"/>
  </w:num>
  <w:num w:numId="15">
    <w:abstractNumId w:val="29"/>
  </w:num>
  <w:num w:numId="16">
    <w:abstractNumId w:val="18"/>
  </w:num>
  <w:num w:numId="17">
    <w:abstractNumId w:val="11"/>
  </w:num>
  <w:num w:numId="18">
    <w:abstractNumId w:val="22"/>
  </w:num>
  <w:num w:numId="19">
    <w:abstractNumId w:val="0"/>
  </w:num>
  <w:num w:numId="20">
    <w:abstractNumId w:val="40"/>
  </w:num>
  <w:num w:numId="21">
    <w:abstractNumId w:val="13"/>
  </w:num>
  <w:num w:numId="22">
    <w:abstractNumId w:val="2"/>
  </w:num>
  <w:num w:numId="23">
    <w:abstractNumId w:val="26"/>
  </w:num>
  <w:num w:numId="24">
    <w:abstractNumId w:val="27"/>
  </w:num>
  <w:num w:numId="25">
    <w:abstractNumId w:val="21"/>
  </w:num>
  <w:num w:numId="26">
    <w:abstractNumId w:val="8"/>
  </w:num>
  <w:num w:numId="27">
    <w:abstractNumId w:val="31"/>
  </w:num>
  <w:num w:numId="28">
    <w:abstractNumId w:val="34"/>
  </w:num>
  <w:num w:numId="29">
    <w:abstractNumId w:val="33"/>
  </w:num>
  <w:num w:numId="30">
    <w:abstractNumId w:val="7"/>
  </w:num>
  <w:num w:numId="31">
    <w:abstractNumId w:val="4"/>
  </w:num>
  <w:num w:numId="32">
    <w:abstractNumId w:val="30"/>
  </w:num>
  <w:num w:numId="33">
    <w:abstractNumId w:val="36"/>
  </w:num>
  <w:num w:numId="34">
    <w:abstractNumId w:val="20"/>
  </w:num>
  <w:num w:numId="35">
    <w:abstractNumId w:val="14"/>
  </w:num>
  <w:num w:numId="36">
    <w:abstractNumId w:val="6"/>
  </w:num>
  <w:num w:numId="37">
    <w:abstractNumId w:val="5"/>
  </w:num>
  <w:num w:numId="38">
    <w:abstractNumId w:val="25"/>
  </w:num>
  <w:num w:numId="39">
    <w:abstractNumId w:val="23"/>
  </w:num>
  <w:num w:numId="40">
    <w:abstractNumId w:val="1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E03EC"/>
    <w:rsid w:val="000F7011"/>
    <w:rsid w:val="0012517C"/>
    <w:rsid w:val="00125E46"/>
    <w:rsid w:val="001731D1"/>
    <w:rsid w:val="001819AA"/>
    <w:rsid w:val="00185EFF"/>
    <w:rsid w:val="001C1677"/>
    <w:rsid w:val="001C1DE9"/>
    <w:rsid w:val="001E5B24"/>
    <w:rsid w:val="00212FA6"/>
    <w:rsid w:val="00281DB7"/>
    <w:rsid w:val="002D4172"/>
    <w:rsid w:val="002F7E64"/>
    <w:rsid w:val="00325814"/>
    <w:rsid w:val="0036200A"/>
    <w:rsid w:val="00372693"/>
    <w:rsid w:val="00386551"/>
    <w:rsid w:val="00396DC4"/>
    <w:rsid w:val="003A5E58"/>
    <w:rsid w:val="00420E94"/>
    <w:rsid w:val="00440AFE"/>
    <w:rsid w:val="004B144C"/>
    <w:rsid w:val="004B172B"/>
    <w:rsid w:val="00511BDE"/>
    <w:rsid w:val="0052678B"/>
    <w:rsid w:val="00527CE3"/>
    <w:rsid w:val="0056416C"/>
    <w:rsid w:val="00571F41"/>
    <w:rsid w:val="0058615B"/>
    <w:rsid w:val="00586BEB"/>
    <w:rsid w:val="0059081E"/>
    <w:rsid w:val="005C0415"/>
    <w:rsid w:val="005E64A1"/>
    <w:rsid w:val="006075E4"/>
    <w:rsid w:val="006416E1"/>
    <w:rsid w:val="00642C57"/>
    <w:rsid w:val="00647C6E"/>
    <w:rsid w:val="006537C2"/>
    <w:rsid w:val="0067124C"/>
    <w:rsid w:val="006753EE"/>
    <w:rsid w:val="0069480A"/>
    <w:rsid w:val="006A58E7"/>
    <w:rsid w:val="006C73E7"/>
    <w:rsid w:val="006E746B"/>
    <w:rsid w:val="006F7925"/>
    <w:rsid w:val="00701C78"/>
    <w:rsid w:val="0071458E"/>
    <w:rsid w:val="00777880"/>
    <w:rsid w:val="007C4136"/>
    <w:rsid w:val="007C675A"/>
    <w:rsid w:val="007F3A34"/>
    <w:rsid w:val="00823EFC"/>
    <w:rsid w:val="00840E69"/>
    <w:rsid w:val="0087607D"/>
    <w:rsid w:val="008812DB"/>
    <w:rsid w:val="00897DA5"/>
    <w:rsid w:val="008D0449"/>
    <w:rsid w:val="008F32DD"/>
    <w:rsid w:val="00907183"/>
    <w:rsid w:val="00933624"/>
    <w:rsid w:val="00934FAA"/>
    <w:rsid w:val="00957380"/>
    <w:rsid w:val="00986C81"/>
    <w:rsid w:val="00A121D5"/>
    <w:rsid w:val="00A44E33"/>
    <w:rsid w:val="00A50034"/>
    <w:rsid w:val="00AB2B24"/>
    <w:rsid w:val="00AD6BD5"/>
    <w:rsid w:val="00AF220E"/>
    <w:rsid w:val="00B063B5"/>
    <w:rsid w:val="00B24DED"/>
    <w:rsid w:val="00B6005D"/>
    <w:rsid w:val="00B61347"/>
    <w:rsid w:val="00B67132"/>
    <w:rsid w:val="00B70A34"/>
    <w:rsid w:val="00B80413"/>
    <w:rsid w:val="00BF4346"/>
    <w:rsid w:val="00C01FDE"/>
    <w:rsid w:val="00C27AA8"/>
    <w:rsid w:val="00D104E5"/>
    <w:rsid w:val="00D10693"/>
    <w:rsid w:val="00D726C7"/>
    <w:rsid w:val="00D733F7"/>
    <w:rsid w:val="00D96D4B"/>
    <w:rsid w:val="00DB4658"/>
    <w:rsid w:val="00DB72EB"/>
    <w:rsid w:val="00E275D1"/>
    <w:rsid w:val="00E41777"/>
    <w:rsid w:val="00E60C96"/>
    <w:rsid w:val="00E80859"/>
    <w:rsid w:val="00E94547"/>
    <w:rsid w:val="00EB4107"/>
    <w:rsid w:val="00EC2B33"/>
    <w:rsid w:val="00F03E36"/>
    <w:rsid w:val="00F83D84"/>
    <w:rsid w:val="00FB252A"/>
    <w:rsid w:val="00FB5FEE"/>
    <w:rsid w:val="00FB68D4"/>
    <w:rsid w:val="00FC118A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0583"/>
  <w15:docId w15:val="{7931ACBF-A883-442A-A973-C9F5698B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4717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39</cp:revision>
  <dcterms:created xsi:type="dcterms:W3CDTF">2022-01-21T10:40:00Z</dcterms:created>
  <dcterms:modified xsi:type="dcterms:W3CDTF">2022-10-07T06:35:00Z</dcterms:modified>
</cp:coreProperties>
</file>