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8B" w:rsidRDefault="001F358B" w:rsidP="001F358B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3872" behindDoc="0" locked="0" layoutInCell="1" allowOverlap="1" wp14:anchorId="34F18DD3" wp14:editId="31DA9D7D">
            <wp:simplePos x="0" y="0"/>
            <wp:positionH relativeFrom="column">
              <wp:posOffset>1333500</wp:posOffset>
            </wp:positionH>
            <wp:positionV relativeFrom="paragraph">
              <wp:posOffset>312420</wp:posOffset>
            </wp:positionV>
            <wp:extent cx="243053" cy="234950"/>
            <wp:effectExtent l="0" t="0" r="508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3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13A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58F5C2D3" wp14:editId="673FF21D">
            <wp:simplePos x="0" y="0"/>
            <wp:positionH relativeFrom="column">
              <wp:posOffset>-130175</wp:posOffset>
            </wp:positionH>
            <wp:positionV relativeFrom="paragraph">
              <wp:posOffset>-735965</wp:posOffset>
            </wp:positionV>
            <wp:extent cx="6183364" cy="698500"/>
            <wp:effectExtent l="0" t="0" r="825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364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B383E18" wp14:editId="57B2E659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053BD70D" wp14:editId="63B5C4B8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</w:t>
      </w:r>
      <w:bookmarkStart w:id="1" w:name="_GoBack"/>
      <w:bookmarkEnd w:id="1"/>
      <w:r>
        <w:rPr>
          <w:i/>
          <w:noProof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2A0818" w:rsidRPr="001F358B" w:rsidRDefault="001F358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82713A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1F358B" w:rsidTr="002A0818">
        <w:trPr>
          <w:trHeight w:val="762"/>
        </w:trPr>
        <w:tc>
          <w:tcPr>
            <w:tcW w:w="4820" w:type="dxa"/>
          </w:tcPr>
          <w:p w:rsidR="00EF3689" w:rsidRPr="001F358B" w:rsidRDefault="006B7640" w:rsidP="002A0818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К</w:t>
            </w:r>
            <w:r w:rsidR="00EF3689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реатин</w:t>
            </w:r>
            <w:r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кіназа</w:t>
            </w:r>
            <w:proofErr w:type="spellEnd"/>
            <w:r w:rsidR="008D0449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r w:rsidR="00EF3689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- МВ</w:t>
            </w:r>
          </w:p>
          <w:p w:rsidR="00396DC4" w:rsidRPr="001F358B" w:rsidRDefault="002F7E64" w:rsidP="002A0818">
            <w:pPr>
              <w:ind w:firstLine="314"/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  <w:r w:rsidR="006B7640" w:rsidRPr="001F358B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</w:t>
            </w:r>
          </w:p>
          <w:p w:rsidR="002A0818" w:rsidRPr="001F358B" w:rsidRDefault="00EF3689" w:rsidP="002A081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Анти CK-M. </w:t>
            </w: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Імуногальмування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.</w:t>
            </w:r>
            <w:r w:rsidR="002A0818" w:rsidRPr="001F358B">
              <w:rPr>
                <w:rFonts w:asciiTheme="minorHAnsi" w:hAnsiTheme="minorHAnsi" w:cstheme="minorHAnsi"/>
                <w:b/>
                <w:noProof/>
                <w:color w:val="002060"/>
                <w:sz w:val="18"/>
                <w:szCs w:val="18"/>
                <w:lang w:val="uk-UA" w:eastAsia="uk-UA"/>
              </w:rPr>
              <w:t xml:space="preserve"> </w:t>
            </w:r>
          </w:p>
          <w:p w:rsidR="0052678B" w:rsidRPr="001F358B" w:rsidRDefault="00EF3689" w:rsidP="002A081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Кінетичне УФ тестування. Рідина</w:t>
            </w:r>
          </w:p>
        </w:tc>
      </w:tr>
    </w:tbl>
    <w:p w:rsidR="002A0818" w:rsidRPr="001F358B" w:rsidRDefault="002A0818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</w:p>
    <w:p w:rsidR="002A0818" w:rsidRPr="001F358B" w:rsidRDefault="0007676A" w:rsidP="002A0818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  <w:r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Кількісн</w:t>
      </w:r>
      <w:r w:rsidR="00EF3689"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е визначення </w:t>
      </w:r>
      <w:proofErr w:type="spellStart"/>
      <w:r w:rsidR="00EF3689"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креатинкінази</w:t>
      </w:r>
      <w:proofErr w:type="spellEnd"/>
      <w:r w:rsidR="00EF3689"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МВ</w:t>
      </w:r>
      <w:r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</w:t>
      </w:r>
    </w:p>
    <w:p w:rsidR="00EB4107" w:rsidRPr="001F358B" w:rsidRDefault="0007676A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  <w:r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(CK</w:t>
      </w:r>
      <w:r w:rsidR="00EF3689"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-МВ</w:t>
      </w:r>
      <w:r w:rsidRPr="001F358B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)</w:t>
      </w:r>
    </w:p>
    <w:p w:rsidR="000111AF" w:rsidRPr="001F358B" w:rsidRDefault="000111AF" w:rsidP="000111AF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1F358B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1F358B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1F358B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1F358B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1F358B">
        <w:rPr>
          <w:rFonts w:cstheme="minorHAnsi"/>
          <w:sz w:val="18"/>
          <w:szCs w:val="18"/>
          <w:lang w:val="uk-UA"/>
        </w:rPr>
        <w:t>.</w:t>
      </w:r>
    </w:p>
    <w:p w:rsidR="00396DC4" w:rsidRPr="001F358B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2A0818" w:rsidRPr="001F358B" w:rsidRDefault="002A0818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396DC4" w:rsidRPr="001F358B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8D0449" w:rsidRPr="001F358B" w:rsidRDefault="008D0449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EF3689" w:rsidRPr="001F358B" w:rsidRDefault="00EF3689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Процедура включає вимірювання активності CK в присутності антитіла до мономеру CK-M. Це антитіло повністю інгібує активність CK-MM і половину активності CK-MB, не впливаючи на активність субодиниці B CK-MB і CK-BB. Потім використовується метод CK для кількісного визначення активності CK-B</w:t>
      </w:r>
      <w:r w:rsidRPr="001F358B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1,2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</w:p>
    <w:p w:rsidR="00EF3689" w:rsidRPr="001F358B" w:rsidRDefault="00EF3689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Активність CK-MB отримують шляхом множення активності CK-B на два.</w:t>
      </w:r>
    </w:p>
    <w:p w:rsidR="00EF3689" w:rsidRPr="001F358B" w:rsidRDefault="00EF3689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1F358B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EF3689" w:rsidRPr="001F358B" w:rsidRDefault="00EF3689" w:rsidP="008D044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EF3689" w:rsidRPr="001F358B" w:rsidRDefault="00EF3689" w:rsidP="00EF3689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CK-MB – це фермент, утворений шляхом об’єднання двох субодиниць з м’язових (М) і нервових клітин (В). CK-MB зазвичай присутній у сироватці у низькій концентрації; він збільшується після гострого інфаркту міокарда і пізніше знижується до нормального рівня. Також збільшується, рідко, ушкодження скелетних м’язів</w:t>
      </w:r>
      <w:r w:rsidRPr="001F358B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5,6,7,8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EF3689" w:rsidRPr="001F358B" w:rsidRDefault="00EF3689" w:rsidP="00EF368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1F358B" w:rsidRDefault="00185EFF" w:rsidP="008D044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1458E" w:rsidRPr="001F358B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DB72EB" w:rsidRPr="001F358B" w:rsidRDefault="00E275D1" w:rsidP="002A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1F358B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1F358B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817"/>
        <w:gridCol w:w="4111"/>
      </w:tblGrid>
      <w:tr w:rsidR="002A0818" w:rsidRPr="001F358B" w:rsidTr="002A0818">
        <w:trPr>
          <w:trHeight w:val="209"/>
        </w:trPr>
        <w:tc>
          <w:tcPr>
            <w:tcW w:w="817" w:type="dxa"/>
            <w:vAlign w:val="center"/>
          </w:tcPr>
          <w:p w:rsidR="002A0818" w:rsidRPr="001F358B" w:rsidRDefault="002A0818" w:rsidP="00BF12BB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2A0818" w:rsidRPr="001F358B" w:rsidRDefault="002A0818" w:rsidP="00BF12BB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1F358B">
              <w:rPr>
                <w:rFonts w:cstheme="minorHAnsi"/>
                <w:b/>
                <w:sz w:val="18"/>
                <w:szCs w:val="18"/>
                <w:lang w:val="uk-UA"/>
              </w:rPr>
              <w:t>R 1</w:t>
            </w:r>
          </w:p>
          <w:p w:rsidR="002A0818" w:rsidRPr="001F358B" w:rsidRDefault="002A0818" w:rsidP="00BF12BB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Імідазол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ph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6,7                      125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Д-глюкоза                              25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N -Ацетил –L-цистеїн           25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Ацетат магнію                      12,5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NADP                                    2,52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EDTA                                     2,02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Гексокіназа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       ≥ 6 800 Од/л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2A0818" w:rsidRPr="001F358B" w:rsidTr="002A0818">
        <w:trPr>
          <w:trHeight w:val="209"/>
        </w:trPr>
        <w:tc>
          <w:tcPr>
            <w:tcW w:w="4928" w:type="dxa"/>
            <w:gridSpan w:val="2"/>
            <w:vAlign w:val="center"/>
          </w:tcPr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Поліклональне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CK-M антитіло людини (</w:t>
            </w: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овець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), достатнє для </w:t>
            </w: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інгібування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до 2 000 ОД/л CK-MM</w:t>
            </w:r>
          </w:p>
        </w:tc>
      </w:tr>
      <w:tr w:rsidR="002A0818" w:rsidRPr="001F358B" w:rsidTr="002A0818">
        <w:trPr>
          <w:trHeight w:val="259"/>
        </w:trPr>
        <w:tc>
          <w:tcPr>
            <w:tcW w:w="817" w:type="dxa"/>
          </w:tcPr>
          <w:p w:rsidR="002A0818" w:rsidRPr="001F358B" w:rsidRDefault="002A0818" w:rsidP="00BF12BB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  <w:p w:rsidR="002A0818" w:rsidRPr="001F358B" w:rsidRDefault="001F358B" w:rsidP="00BF12BB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1F358B">
              <w:rPr>
                <w:rFonts w:eastAsia="Tahoma" w:cstheme="minorHAnsi"/>
                <w:b/>
                <w:noProof/>
                <w:color w:val="244061" w:themeColor="accent1" w:themeShade="80"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53632" behindDoc="0" locked="0" layoutInCell="1" allowOverlap="1" wp14:anchorId="18E16CD4" wp14:editId="1B18C4AE">
                  <wp:simplePos x="0" y="0"/>
                  <wp:positionH relativeFrom="column">
                    <wp:posOffset>-2124710</wp:posOffset>
                  </wp:positionH>
                  <wp:positionV relativeFrom="paragraph">
                    <wp:posOffset>297815</wp:posOffset>
                  </wp:positionV>
                  <wp:extent cx="216950" cy="2286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818" w:rsidRPr="001F358B">
              <w:rPr>
                <w:rFonts w:cstheme="minorHAnsi"/>
                <w:b/>
                <w:sz w:val="18"/>
                <w:szCs w:val="18"/>
                <w:lang w:val="uk-UA"/>
              </w:rPr>
              <w:t>R 2</w:t>
            </w:r>
          </w:p>
          <w:p w:rsidR="002A0818" w:rsidRPr="001F358B" w:rsidRDefault="002A0818" w:rsidP="00BF12BB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4111" w:type="dxa"/>
          </w:tcPr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ADP                                        15,2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AMP                                        25 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di-Аденозин-5-пентафосфат 103 ммоль /л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Глюкозо-6-фосфатдегідрогеназа  ≥ 8 800 Од/ л</w:t>
            </w:r>
          </w:p>
          <w:p w:rsidR="002A0818" w:rsidRPr="001F358B" w:rsidRDefault="002A0818" w:rsidP="00BF12B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Фосфокреатин</w:t>
            </w:r>
            <w:proofErr w:type="spellEnd"/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  250 ммоль /л</w:t>
            </w:r>
          </w:p>
        </w:tc>
      </w:tr>
    </w:tbl>
    <w:p w:rsidR="002A0818" w:rsidRPr="001F358B" w:rsidRDefault="002A0818" w:rsidP="00D10693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D10693" w:rsidRPr="001F358B" w:rsidRDefault="00D10693" w:rsidP="00D10693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proofErr w:type="spellStart"/>
      <w:r w:rsidRPr="001F358B">
        <w:rPr>
          <w:rFonts w:cstheme="minorHAnsi"/>
          <w:b/>
          <w:sz w:val="18"/>
          <w:szCs w:val="18"/>
          <w:lang w:val="uk-UA"/>
        </w:rPr>
        <w:t>Опційно</w:t>
      </w:r>
      <w:proofErr w:type="spellEnd"/>
      <w:r w:rsidRPr="001F358B">
        <w:rPr>
          <w:rFonts w:cstheme="minorHAnsi"/>
          <w:b/>
          <w:sz w:val="18"/>
          <w:szCs w:val="18"/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9"/>
      </w:tblGrid>
      <w:tr w:rsidR="00D10693" w:rsidRPr="001F358B" w:rsidTr="00D10693">
        <w:trPr>
          <w:trHeight w:val="70"/>
        </w:trPr>
        <w:tc>
          <w:tcPr>
            <w:tcW w:w="4879" w:type="dxa"/>
          </w:tcPr>
          <w:p w:rsidR="00D10693" w:rsidRPr="001F358B" w:rsidRDefault="00A43DFA" w:rsidP="004F5704">
            <w:pPr>
              <w:jc w:val="both"/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1F358B">
              <w:rPr>
                <w:rFonts w:cstheme="minorHAnsi"/>
                <w:b/>
                <w:sz w:val="18"/>
                <w:szCs w:val="18"/>
                <w:lang w:val="uk-UA"/>
              </w:rPr>
              <w:t>CK-NAC/</w:t>
            </w:r>
            <w:r w:rsidR="00D10693" w:rsidRPr="001F358B">
              <w:rPr>
                <w:rFonts w:cstheme="minorHAnsi"/>
                <w:b/>
                <w:sz w:val="18"/>
                <w:szCs w:val="18"/>
                <w:lang w:val="uk-UA"/>
              </w:rPr>
              <w:t xml:space="preserve">CK-MB </w:t>
            </w:r>
            <w:r w:rsidR="004F5704" w:rsidRPr="001F358B">
              <w:rPr>
                <w:rFonts w:cstheme="minorHAnsi"/>
                <w:b/>
                <w:sz w:val="18"/>
                <w:szCs w:val="18"/>
                <w:lang w:val="uk-UA"/>
              </w:rPr>
              <w:t>КОНТРОЛЬ</w:t>
            </w:r>
            <w:r w:rsidR="00D10693" w:rsidRPr="001F358B">
              <w:rPr>
                <w:rFonts w:cstheme="minorHAnsi"/>
                <w:b/>
                <w:sz w:val="18"/>
                <w:szCs w:val="18"/>
                <w:lang w:val="uk-UA"/>
              </w:rPr>
              <w:t xml:space="preserve"> </w:t>
            </w:r>
            <w:r w:rsidR="004F5704" w:rsidRPr="001F358B">
              <w:rPr>
                <w:rStyle w:val="a4"/>
                <w:rFonts w:asciiTheme="minorHAnsi" w:hAnsiTheme="minorHAnsi" w:cstheme="minorHAnsi"/>
                <w:b w:val="0"/>
                <w:sz w:val="18"/>
                <w:szCs w:val="18"/>
                <w:lang w:val="uk-UA"/>
              </w:rPr>
              <w:t xml:space="preserve">Ліофілізована сироватка людини </w:t>
            </w:r>
            <w:r w:rsidR="00D10693" w:rsidRPr="001F358B">
              <w:rPr>
                <w:rStyle w:val="a4"/>
                <w:rFonts w:asciiTheme="minorHAnsi" w:hAnsiTheme="minorHAnsi" w:cstheme="minorHAnsi"/>
                <w:b w:val="0"/>
                <w:sz w:val="18"/>
                <w:szCs w:val="18"/>
                <w:lang w:val="uk-UA"/>
              </w:rPr>
              <w:t>посилання МО -165110</w:t>
            </w:r>
          </w:p>
        </w:tc>
      </w:tr>
    </w:tbl>
    <w:p w:rsidR="002A0818" w:rsidRPr="001F358B" w:rsidRDefault="002A0818" w:rsidP="00D10693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DB72EB" w:rsidRPr="001F358B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lastRenderedPageBreak/>
        <w:t>ПІ</w:t>
      </w:r>
      <w:r w:rsidR="00907183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A43DFA" w:rsidRPr="001F358B" w:rsidRDefault="00A43DFA" w:rsidP="00907183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bookmarkStart w:id="2" w:name="bookmark26"/>
    </w:p>
    <w:p w:rsidR="002A0818" w:rsidRPr="001F358B" w:rsidRDefault="00A43DFA" w:rsidP="00907183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  <w:r w:rsidRPr="001F358B">
        <w:rPr>
          <w:rFonts w:eastAsia="Tahoma" w:cstheme="minorHAnsi"/>
          <w:sz w:val="18"/>
          <w:szCs w:val="18"/>
          <w:lang w:val="uk-UA"/>
        </w:rPr>
        <w:t>Робочий реагент (WR): змішати</w:t>
      </w:r>
      <w:r w:rsidR="009605AD" w:rsidRPr="001F358B">
        <w:rPr>
          <w:rFonts w:eastAsia="Tahoma" w:cstheme="minorHAnsi"/>
          <w:sz w:val="18"/>
          <w:szCs w:val="18"/>
          <w:lang w:val="uk-UA"/>
        </w:rPr>
        <w:t xml:space="preserve"> з</w:t>
      </w:r>
      <w:r w:rsidRPr="001F358B">
        <w:rPr>
          <w:rFonts w:eastAsia="Tahoma" w:cstheme="minorHAnsi"/>
          <w:sz w:val="18"/>
          <w:szCs w:val="18"/>
          <w:lang w:val="uk-UA"/>
        </w:rPr>
        <w:t xml:space="preserve"> 4 об’єми реагенту 1 з 1 об’ємом реагенту 2. Стабільність: 7 днів при 2-8°C або 12 годин при кімнатній температурі (20-25°C).</w:t>
      </w:r>
    </w:p>
    <w:p w:rsidR="002A0818" w:rsidRPr="001F358B" w:rsidRDefault="002A0818" w:rsidP="00907183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1F358B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1F358B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1F358B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D96D4B" w:rsidRPr="001F358B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4F5704" w:rsidRPr="001F358B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4F5704" w:rsidRPr="001F358B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4F5704" w:rsidRPr="001F358B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4F5704" w:rsidRPr="001F358B" w:rsidRDefault="004F5704" w:rsidP="004F5704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Наявність частинок та каламутність</w:t>
      </w:r>
    </w:p>
    <w:p w:rsidR="00D96D4B" w:rsidRPr="001F358B" w:rsidRDefault="004F5704" w:rsidP="005E64A1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Пуста абсорбція</w:t>
      </w:r>
      <w:r w:rsidR="005E64A1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(A)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5E64A1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D1069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340</w:t>
      </w:r>
      <w:r w:rsidR="005E64A1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  <w:r w:rsidR="005E64A1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F7925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≥ 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1,2</w:t>
      </w:r>
      <w:r w:rsidR="00D1069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E64A1" w:rsidRPr="001F358B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1F358B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2A0818" w:rsidRPr="001F358B" w:rsidRDefault="002A0818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185EFF" w:rsidRPr="001F358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D10693" w:rsidRPr="001F358B">
        <w:rPr>
          <w:rFonts w:asciiTheme="minorHAnsi" w:hAnsiTheme="minorHAnsi" w:cstheme="minorHAnsi"/>
          <w:sz w:val="18"/>
          <w:szCs w:val="18"/>
          <w:lang w:val="uk-UA"/>
        </w:rPr>
        <w:t>340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нм.</w:t>
      </w:r>
    </w:p>
    <w:p w:rsidR="006075E4" w:rsidRPr="001F358B" w:rsidRDefault="006075E4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Термостатична ванна при 25°C, 30°C  або 37°C  (±0,1°C ).</w:t>
      </w:r>
    </w:p>
    <w:p w:rsidR="00185EFF" w:rsidRPr="001F358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Відповідні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кювет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и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з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д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овжиною світового шляху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1,0 см.</w:t>
      </w:r>
    </w:p>
    <w:p w:rsidR="00933624" w:rsidRPr="001F358B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1F358B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A43DFA" w:rsidRPr="001F358B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2A0818" w:rsidRPr="001F358B" w:rsidRDefault="002A0818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1F358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1F358B" w:rsidRDefault="00E60C96" w:rsidP="006075E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4F5704" w:rsidRPr="001F358B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Сироватка без гемолізу або гепарину плазми:</w:t>
      </w:r>
    </w:p>
    <w:p w:rsidR="004F5704" w:rsidRPr="001F358B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Стабільність 7 днів при 2-8°C, захищеному від світла.</w:t>
      </w:r>
    </w:p>
    <w:p w:rsidR="006075E4" w:rsidRPr="001F358B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Активність креатин</w:t>
      </w:r>
      <w:r w:rsidR="0007676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кінази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СК-МВ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зменшується на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10%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після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24 годин</w:t>
      </w:r>
      <w:r w:rsidR="0007676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°C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або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години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25°C.</w:t>
      </w:r>
    </w:p>
    <w:p w:rsidR="00D104E5" w:rsidRPr="001F358B" w:rsidRDefault="00D104E5" w:rsidP="006075E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933624" w:rsidRPr="001F358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1F358B" w:rsidRDefault="009466A3" w:rsidP="002A0818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6075E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…………………..</w:t>
      </w:r>
      <w:r w:rsidR="006075E4" w:rsidRPr="001F358B">
        <w:rPr>
          <w:rFonts w:asciiTheme="minorHAnsi" w:hAnsiTheme="minorHAnsi" w:cstheme="minorHAnsi"/>
          <w:sz w:val="18"/>
          <w:szCs w:val="18"/>
          <w:lang w:val="uk-UA"/>
        </w:rPr>
        <w:t>340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нм</w:t>
      </w:r>
    </w:p>
    <w:p w:rsidR="00D96D4B" w:rsidRPr="001F358B" w:rsidRDefault="009466A3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Кювета:                             </w:t>
      </w:r>
      <w:r w:rsidR="00D96D4B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світлового шляху</w:t>
      </w:r>
    </w:p>
    <w:p w:rsidR="00D96D4B" w:rsidRPr="001F358B" w:rsidRDefault="006075E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Постійна температура</w:t>
      </w:r>
      <w:r w:rsidR="00D104E5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25°C/30°C/ </w:t>
      </w:r>
      <w:r w:rsidR="005E64A1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466A3" w:rsidRPr="001F358B" w:rsidRDefault="009466A3" w:rsidP="002A0818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Налаштуйте прилад на нуль дистильованою водою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або повітрям.</w:t>
      </w:r>
    </w:p>
    <w:p w:rsidR="009466A3" w:rsidRPr="001F358B" w:rsidRDefault="009466A3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кювету: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851"/>
      </w:tblGrid>
      <w:tr w:rsidR="00A43DFA" w:rsidRPr="001F358B" w:rsidTr="00A43DFA">
        <w:tc>
          <w:tcPr>
            <w:tcW w:w="1417" w:type="dxa"/>
          </w:tcPr>
          <w:p w:rsidR="00A43DFA" w:rsidRPr="001F358B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WR ( мл)</w:t>
            </w:r>
          </w:p>
        </w:tc>
        <w:tc>
          <w:tcPr>
            <w:tcW w:w="851" w:type="dxa"/>
          </w:tcPr>
          <w:p w:rsidR="00A43DFA" w:rsidRPr="001F358B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A43DFA" w:rsidRPr="001F358B" w:rsidTr="00A43DFA">
        <w:tc>
          <w:tcPr>
            <w:tcW w:w="1417" w:type="dxa"/>
          </w:tcPr>
          <w:p w:rsidR="00A43DFA" w:rsidRPr="001F358B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851" w:type="dxa"/>
          </w:tcPr>
          <w:p w:rsidR="00A43DFA" w:rsidRPr="001F358B" w:rsidRDefault="00A43DF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40</w:t>
            </w:r>
          </w:p>
        </w:tc>
      </w:tr>
    </w:tbl>
    <w:p w:rsidR="00D96D4B" w:rsidRPr="001F358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71458E" w:rsidRPr="001F358B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D104E5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інкубуйте протягом </w:t>
      </w:r>
      <w:r w:rsidR="00A43DFA" w:rsidRPr="001F358B">
        <w:rPr>
          <w:rFonts w:asciiTheme="minorHAnsi" w:hAnsiTheme="minorHAnsi" w:cstheme="minorHAnsi"/>
          <w:sz w:val="18"/>
          <w:szCs w:val="18"/>
          <w:lang w:val="uk-UA"/>
        </w:rPr>
        <w:t>10</w:t>
      </w:r>
      <w:r w:rsidR="00D104E5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хвилин</w:t>
      </w:r>
      <w:r w:rsidR="006075E4" w:rsidRPr="001F358B">
        <w:rPr>
          <w:rFonts w:asciiTheme="minorHAnsi" w:hAnsiTheme="minorHAnsi" w:cstheme="minorHAnsi"/>
          <w:b/>
          <w:sz w:val="18"/>
          <w:szCs w:val="18"/>
          <w:lang w:val="uk-UA"/>
        </w:rPr>
        <w:t>.</w:t>
      </w:r>
    </w:p>
    <w:p w:rsidR="00C27AA8" w:rsidRPr="001F358B" w:rsidRDefault="00D104E5" w:rsidP="00C27AA8">
      <w:pPr>
        <w:pStyle w:val="ac"/>
        <w:numPr>
          <w:ilvl w:val="0"/>
          <w:numId w:val="2"/>
        </w:numPr>
        <w:shd w:val="clear" w:color="auto" w:fill="auto"/>
        <w:spacing w:line="240" w:lineRule="auto"/>
        <w:ind w:left="44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372693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C27AA8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первинну </w:t>
      </w:r>
      <w:r w:rsidR="00372693" w:rsidRPr="001F358B">
        <w:rPr>
          <w:rFonts w:asciiTheme="minorHAnsi" w:hAnsiTheme="minorHAnsi" w:cstheme="minorHAnsi"/>
          <w:sz w:val="18"/>
          <w:szCs w:val="18"/>
          <w:lang w:val="uk-UA"/>
        </w:rPr>
        <w:t>абсорбцію (А</w:t>
      </w:r>
      <w:r w:rsidR="00A43DFA" w:rsidRPr="001F358B">
        <w:rPr>
          <w:rFonts w:asciiTheme="minorHAnsi" w:hAnsiTheme="minorHAnsi" w:cstheme="minorHAnsi"/>
          <w:sz w:val="18"/>
          <w:szCs w:val="18"/>
          <w:lang w:val="uk-UA"/>
        </w:rPr>
        <w:t>)</w:t>
      </w:r>
      <w:r w:rsidR="00E8547C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проби</w:t>
      </w:r>
      <w:r w:rsidR="00C27AA8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</w:t>
      </w:r>
      <w:r w:rsidR="009466A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увімкніть таймер та зчитайте</w:t>
      </w:r>
      <w:r w:rsidR="00C27AA8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абсорбцію </w:t>
      </w:r>
      <w:r w:rsidR="009466A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через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5</w:t>
      </w:r>
      <w:r w:rsidR="00C27AA8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хвилин</w:t>
      </w:r>
      <w:r w:rsidR="00C27AA8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A43DFA" w:rsidRPr="001F358B" w:rsidRDefault="009466A3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Style w:val="130"/>
          <w:rFonts w:asciiTheme="minorHAnsi" w:eastAsia="Arial Unicode MS" w:hAnsiTheme="minorHAnsi" w:cstheme="minorHAnsi"/>
          <w:b w:val="0"/>
          <w:bCs w:val="0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Обчисліть різницю між абсорбціями ΔA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= А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vertAlign w:val="subscript"/>
          <w:lang w:val="uk-UA" w:bidi="en-US"/>
        </w:rPr>
        <w:t>2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– А</w:t>
      </w:r>
      <w:r w:rsidR="00A43DFA" w:rsidRPr="001F358B">
        <w:rPr>
          <w:rFonts w:asciiTheme="minorHAnsi" w:hAnsiTheme="minorHAnsi" w:cstheme="minorHAnsi"/>
          <w:color w:val="000000"/>
          <w:sz w:val="18"/>
          <w:szCs w:val="18"/>
          <w:vertAlign w:val="subscript"/>
          <w:lang w:val="uk-UA" w:bidi="en-US"/>
        </w:rPr>
        <w:t>1</w:t>
      </w:r>
      <w:r w:rsidR="00DB72EB" w:rsidRPr="001F358B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</w:p>
    <w:p w:rsidR="002A0818" w:rsidRPr="001F358B" w:rsidRDefault="002A0818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Style w:val="130"/>
          <w:rFonts w:asciiTheme="minorHAnsi" w:eastAsia="Arial Unicode MS" w:hAnsiTheme="minorHAnsi" w:cstheme="minorHAnsi"/>
          <w:b w:val="0"/>
          <w:bCs w:val="0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DB72EB" w:rsidRPr="001F358B" w:rsidRDefault="00DB72EB" w:rsidP="00A43DFA">
      <w:pPr>
        <w:pStyle w:val="20"/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1F358B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1F358B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1F358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241A3C" w:rsidRPr="001F358B" w:rsidRDefault="00241A3C" w:rsidP="00241A3C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ΔA x 825 = Од/л креатинкінази CK-B </w:t>
      </w:r>
    </w:p>
    <w:p w:rsidR="00241A3C" w:rsidRPr="001F358B" w:rsidRDefault="00241A3C" w:rsidP="00241A3C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ΔA x 1651 = Од/л креатинкінази CK-MB</w:t>
      </w:r>
    </w:p>
    <w:p w:rsidR="00241A3C" w:rsidRPr="001F358B" w:rsidRDefault="00241A3C" w:rsidP="00241A3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241A3C" w:rsidRPr="001F358B" w:rsidRDefault="00241A3C" w:rsidP="00241A3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Розрахунковий коефіцієнт в автоматичних аналізаторах кінетичним методом (ΔA/хв.) становить 8255. </w:t>
      </w:r>
    </w:p>
    <w:p w:rsidR="00A43DFA" w:rsidRPr="001F358B" w:rsidRDefault="00241A3C" w:rsidP="00241A3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b/>
          <w:color w:val="000000"/>
          <w:sz w:val="18"/>
          <w:szCs w:val="18"/>
          <w:lang w:val="uk-UA" w:bidi="en-US"/>
        </w:rPr>
        <w:t>Одиниці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 Одна міжнародна одиниця (Од) — це кількість ферменту, яка перетворює 1 мкмоль субстрату за хвилину в стандартних умовах. Концентрація виражається в одиницях на літр проби (Од/л).</w:t>
      </w:r>
    </w:p>
    <w:p w:rsidR="00A43DFA" w:rsidRPr="001F358B" w:rsidRDefault="00A43DFA" w:rsidP="009466A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372693" w:rsidRPr="001F358B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b/>
          <w:sz w:val="18"/>
          <w:szCs w:val="18"/>
          <w:lang w:val="uk-UA"/>
        </w:rPr>
        <w:t>Коефіцієнти перерахунку температури</w:t>
      </w:r>
    </w:p>
    <w:p w:rsidR="006075E4" w:rsidRPr="001F358B" w:rsidRDefault="006075E4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Скоригуйте результат до інших температур з множником на</w:t>
      </w:r>
    </w:p>
    <w:p w:rsidR="002A0818" w:rsidRPr="001F358B" w:rsidRDefault="002A0818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1038"/>
        <w:gridCol w:w="107"/>
        <w:gridCol w:w="1092"/>
        <w:gridCol w:w="53"/>
        <w:gridCol w:w="1146"/>
      </w:tblGrid>
      <w:tr w:rsidR="00642C57" w:rsidRPr="001F358B" w:rsidTr="00642C57">
        <w:trPr>
          <w:trHeight w:val="233"/>
        </w:trPr>
        <w:tc>
          <w:tcPr>
            <w:tcW w:w="1443" w:type="dxa"/>
            <w:vMerge w:val="restart"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Температура аналізу</w:t>
            </w:r>
          </w:p>
        </w:tc>
        <w:tc>
          <w:tcPr>
            <w:tcW w:w="3436" w:type="dxa"/>
            <w:gridSpan w:val="5"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Коефіцієнт перерахунку до</w:t>
            </w:r>
          </w:p>
        </w:tc>
      </w:tr>
      <w:tr w:rsidR="00642C57" w:rsidRPr="001F358B" w:rsidTr="00784D42">
        <w:trPr>
          <w:trHeight w:val="232"/>
        </w:trPr>
        <w:tc>
          <w:tcPr>
            <w:tcW w:w="1443" w:type="dxa"/>
            <w:vMerge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gridSpan w:val="2"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5" w:type="dxa"/>
            <w:gridSpan w:val="2"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6" w:type="dxa"/>
          </w:tcPr>
          <w:p w:rsidR="00642C57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</w:tr>
      <w:tr w:rsidR="006075E4" w:rsidRPr="001F358B" w:rsidTr="00642C57">
        <w:tc>
          <w:tcPr>
            <w:tcW w:w="1443" w:type="dxa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99" w:type="dxa"/>
            <w:gridSpan w:val="2"/>
          </w:tcPr>
          <w:p w:rsidR="006075E4" w:rsidRPr="001F358B" w:rsidRDefault="00241A3C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1.53</w:t>
            </w:r>
          </w:p>
        </w:tc>
        <w:tc>
          <w:tcPr>
            <w:tcW w:w="1199" w:type="dxa"/>
            <w:gridSpan w:val="2"/>
          </w:tcPr>
          <w:p w:rsidR="006075E4" w:rsidRPr="001F358B" w:rsidRDefault="00241A3C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2,38</w:t>
            </w:r>
          </w:p>
        </w:tc>
      </w:tr>
      <w:tr w:rsidR="006075E4" w:rsidRPr="001F358B" w:rsidTr="00642C57">
        <w:tc>
          <w:tcPr>
            <w:tcW w:w="1443" w:type="dxa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1F358B" w:rsidRDefault="00241A3C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0,65</w:t>
            </w:r>
          </w:p>
        </w:tc>
        <w:tc>
          <w:tcPr>
            <w:tcW w:w="1199" w:type="dxa"/>
            <w:gridSpan w:val="2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99" w:type="dxa"/>
            <w:gridSpan w:val="2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1,56</w:t>
            </w:r>
          </w:p>
        </w:tc>
      </w:tr>
      <w:tr w:rsidR="006075E4" w:rsidRPr="001F358B" w:rsidTr="00642C57">
        <w:tc>
          <w:tcPr>
            <w:tcW w:w="1443" w:type="dxa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1F358B" w:rsidRDefault="00241A3C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0,42</w:t>
            </w:r>
          </w:p>
        </w:tc>
        <w:tc>
          <w:tcPr>
            <w:tcW w:w="1199" w:type="dxa"/>
            <w:gridSpan w:val="2"/>
          </w:tcPr>
          <w:p w:rsidR="006075E4" w:rsidRPr="001F358B" w:rsidRDefault="00241A3C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0,64</w:t>
            </w:r>
          </w:p>
        </w:tc>
        <w:tc>
          <w:tcPr>
            <w:tcW w:w="1199" w:type="dxa"/>
            <w:gridSpan w:val="2"/>
          </w:tcPr>
          <w:p w:rsidR="006075E4" w:rsidRPr="001F358B" w:rsidRDefault="00642C57" w:rsidP="009605A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F358B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</w:tr>
    </w:tbl>
    <w:p w:rsidR="00372693" w:rsidRPr="001F358B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933624" w:rsidRPr="001F358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1F358B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241A3C" w:rsidRPr="001F358B" w:rsidRDefault="00241A3C" w:rsidP="00241A3C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Специфічні контрольні сироватки CK-NAC/CK-MB (</w:t>
      </w:r>
      <w:proofErr w:type="spellStart"/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Ref</w:t>
      </w:r>
      <w:proofErr w:type="spellEnd"/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MO-165110) рекомендується для моніторингу виконання процедур аналізу.</w:t>
      </w:r>
    </w:p>
    <w:p w:rsidR="004F5704" w:rsidRPr="001F358B" w:rsidRDefault="004F5704" w:rsidP="00241A3C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Якщо контрольні значення виходять за границі визначеного діапазону, перевірте прилад, реагенти та калібратор на наявність проблем.</w:t>
      </w:r>
    </w:p>
    <w:p w:rsidR="004F5704" w:rsidRPr="001F358B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</w:p>
    <w:p w:rsidR="0071458E" w:rsidRPr="001F358B" w:rsidRDefault="0071458E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1F358B" w:rsidRDefault="002A0818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E64A1" w:rsidRPr="001F358B" w:rsidRDefault="005E64A1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2A0818" w:rsidRPr="001F358B" w:rsidRDefault="00241A3C" w:rsidP="001F358B">
      <w:pPr>
        <w:pStyle w:val="20"/>
        <w:shd w:val="clear" w:color="auto" w:fill="auto"/>
        <w:spacing w:after="0" w:line="240" w:lineRule="auto"/>
        <w:ind w:left="-284"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Підозра на пошкодження міокарда ґрунтується на трьох наступних факторах: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141"/>
        <w:gridCol w:w="1220"/>
      </w:tblGrid>
      <w:tr w:rsidR="00241A3C" w:rsidRPr="001F358B" w:rsidTr="006B198D">
        <w:tc>
          <w:tcPr>
            <w:tcW w:w="138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113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25°C</w:t>
            </w:r>
          </w:p>
        </w:tc>
        <w:tc>
          <w:tcPr>
            <w:tcW w:w="1141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30°C</w:t>
            </w:r>
          </w:p>
        </w:tc>
        <w:tc>
          <w:tcPr>
            <w:tcW w:w="1220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37°C</w:t>
            </w:r>
          </w:p>
        </w:tc>
      </w:tr>
      <w:tr w:rsidR="00241A3C" w:rsidRPr="001F358B" w:rsidTr="006B198D">
        <w:tc>
          <w:tcPr>
            <w:tcW w:w="138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СК-МВ</w:t>
            </w:r>
          </w:p>
        </w:tc>
        <w:tc>
          <w:tcPr>
            <w:tcW w:w="113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&gt;10 Од</w:t>
            </w:r>
            <w:r w:rsidR="006B198D"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141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&gt;15 Од</w:t>
            </w:r>
            <w:r w:rsidR="006B198D"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  <w:tc>
          <w:tcPr>
            <w:tcW w:w="1220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&gt;24 Од</w:t>
            </w:r>
            <w:r w:rsidR="006B198D"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  <w:tr w:rsidR="00241A3C" w:rsidRPr="001F358B" w:rsidTr="006B198D">
        <w:tc>
          <w:tcPr>
            <w:tcW w:w="138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Загальна СК</w:t>
            </w:r>
          </w:p>
        </w:tc>
        <w:tc>
          <w:tcPr>
            <w:tcW w:w="1134" w:type="dxa"/>
          </w:tcPr>
          <w:p w:rsidR="00241A3C" w:rsidRPr="001F358B" w:rsidRDefault="00241A3C" w:rsidP="008E0E2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25°C</w:t>
            </w:r>
          </w:p>
        </w:tc>
        <w:tc>
          <w:tcPr>
            <w:tcW w:w="1141" w:type="dxa"/>
          </w:tcPr>
          <w:p w:rsidR="00241A3C" w:rsidRPr="001F358B" w:rsidRDefault="00241A3C" w:rsidP="008E0E2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30°C</w:t>
            </w:r>
          </w:p>
        </w:tc>
        <w:tc>
          <w:tcPr>
            <w:tcW w:w="1220" w:type="dxa"/>
          </w:tcPr>
          <w:p w:rsidR="00241A3C" w:rsidRPr="001F358B" w:rsidRDefault="00241A3C" w:rsidP="008E0E2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37°C</w:t>
            </w:r>
          </w:p>
        </w:tc>
      </w:tr>
      <w:tr w:rsidR="00241A3C" w:rsidRPr="001F358B" w:rsidTr="006B198D">
        <w:tc>
          <w:tcPr>
            <w:tcW w:w="138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Чоловік, до</w:t>
            </w:r>
          </w:p>
        </w:tc>
        <w:tc>
          <w:tcPr>
            <w:tcW w:w="113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80</w:t>
            </w:r>
            <w:r w:rsidR="006B198D"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Од/л</w:t>
            </w:r>
          </w:p>
        </w:tc>
        <w:tc>
          <w:tcPr>
            <w:tcW w:w="1141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130</w:t>
            </w:r>
            <w:r w:rsidR="006B198D"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Од/л</w:t>
            </w:r>
          </w:p>
        </w:tc>
        <w:tc>
          <w:tcPr>
            <w:tcW w:w="1220" w:type="dxa"/>
          </w:tcPr>
          <w:p w:rsidR="00241A3C" w:rsidRPr="001F358B" w:rsidRDefault="006B198D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195 Од/л</w:t>
            </w:r>
          </w:p>
        </w:tc>
      </w:tr>
      <w:tr w:rsidR="00241A3C" w:rsidRPr="001F358B" w:rsidTr="006B198D">
        <w:tc>
          <w:tcPr>
            <w:tcW w:w="1384" w:type="dxa"/>
          </w:tcPr>
          <w:p w:rsidR="00241A3C" w:rsidRPr="001F358B" w:rsidRDefault="00241A3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Жінка, до</w:t>
            </w:r>
          </w:p>
        </w:tc>
        <w:tc>
          <w:tcPr>
            <w:tcW w:w="1134" w:type="dxa"/>
          </w:tcPr>
          <w:p w:rsidR="00241A3C" w:rsidRPr="001F358B" w:rsidRDefault="006B198D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70 Од/л</w:t>
            </w:r>
          </w:p>
        </w:tc>
        <w:tc>
          <w:tcPr>
            <w:tcW w:w="1141" w:type="dxa"/>
          </w:tcPr>
          <w:p w:rsidR="00241A3C" w:rsidRPr="001F358B" w:rsidRDefault="006B198D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110 Од/л</w:t>
            </w:r>
          </w:p>
        </w:tc>
        <w:tc>
          <w:tcPr>
            <w:tcW w:w="1220" w:type="dxa"/>
          </w:tcPr>
          <w:p w:rsidR="00241A3C" w:rsidRPr="001F358B" w:rsidRDefault="006B198D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1F358B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170 Од/л</w:t>
            </w:r>
          </w:p>
        </w:tc>
      </w:tr>
    </w:tbl>
    <w:p w:rsidR="006B198D" w:rsidRPr="001F358B" w:rsidRDefault="006B198D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6B198D" w:rsidRPr="001F358B" w:rsidRDefault="001F358B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18"/>
                  <w:szCs w:val="18"/>
                  <w:lang w:val="uk-UA" w:bidi="en-US"/>
                </w:rPr>
                <m:t>Активність СК-МВ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18"/>
                  <w:szCs w:val="18"/>
                  <w:lang w:val="uk-UA" w:bidi="en-US"/>
                </w:rPr>
                <m:t>Загальна активність СК</m:t>
              </m:r>
            </m:den>
          </m:f>
          <m:r>
            <w:rPr>
              <w:rFonts w:ascii="Cambria Math" w:hAnsi="Cambria Math" w:cstheme="minorHAnsi"/>
              <w:color w:val="000000"/>
              <w:sz w:val="18"/>
              <w:szCs w:val="18"/>
              <w:lang w:val="uk-UA" w:bidi="en-US"/>
            </w:rPr>
            <m:t>х100=6-25%СК-МВ активність у пробі</m:t>
          </m:r>
        </m:oMath>
      </m:oMathPara>
    </w:p>
    <w:p w:rsidR="006B198D" w:rsidRPr="001F358B" w:rsidRDefault="006B198D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6B198D" w:rsidRPr="001F358B" w:rsidRDefault="006B198D" w:rsidP="006B198D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1F358B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1F358B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1F358B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1F358B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1F358B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2A0818" w:rsidRPr="001F358B" w:rsidRDefault="002A0818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7C675A" w:rsidRPr="001F358B" w:rsidRDefault="009466A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Від границі визначення </w:t>
      </w:r>
      <w:r w:rsidR="006B198D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1,9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Од/</w:t>
      </w:r>
      <w:r w:rsidR="00642C57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F83D8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B198D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318</w:t>
      </w:r>
      <w:r w:rsidR="00C27AA8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Од/</w:t>
      </w:r>
      <w:r w:rsidR="00642C57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466A3" w:rsidRPr="001F358B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 xml:space="preserve">Якщо отримані результати перевищують границю </w:t>
      </w:r>
      <w:r w:rsidR="006B198D" w:rsidRPr="001F358B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лінійності, розбавте зразок 1/1</w:t>
      </w:r>
      <w:r w:rsidRPr="001F358B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 xml:space="preserve"> NaCl 9 г/л і помножте результат на </w:t>
      </w:r>
      <w:r w:rsidR="006B198D" w:rsidRPr="001F358B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2.</w:t>
      </w:r>
    </w:p>
    <w:p w:rsidR="002A0818" w:rsidRPr="001F358B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1F358B" w:rsidTr="001819AA">
        <w:tc>
          <w:tcPr>
            <w:tcW w:w="2160" w:type="dxa"/>
          </w:tcPr>
          <w:p w:rsidR="007C675A" w:rsidRPr="001F358B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1F358B" w:rsidRDefault="006B198D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У межах аналізу</w:t>
            </w:r>
            <w:r w:rsidR="009466A3"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48" w:type="dxa"/>
            <w:gridSpan w:val="2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Між аналізами</w:t>
            </w:r>
          </w:p>
          <w:p w:rsidR="007C675A" w:rsidRPr="001F358B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7C675A" w:rsidRPr="001F358B" w:rsidTr="001819AA">
        <w:tc>
          <w:tcPr>
            <w:tcW w:w="2160" w:type="dxa"/>
          </w:tcPr>
          <w:p w:rsidR="007C675A" w:rsidRPr="001F358B" w:rsidRDefault="00F83D84" w:rsidP="00642C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9466A3"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Од/</w:t>
            </w:r>
            <w:r w:rsidR="007C4136"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</w:t>
            </w:r>
            <w:r w:rsidR="007C675A"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1F358B" w:rsidRDefault="006B198D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33,7</w:t>
            </w:r>
          </w:p>
        </w:tc>
        <w:tc>
          <w:tcPr>
            <w:tcW w:w="731" w:type="dxa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166,5</w:t>
            </w:r>
          </w:p>
        </w:tc>
        <w:tc>
          <w:tcPr>
            <w:tcW w:w="606" w:type="dxa"/>
          </w:tcPr>
          <w:p w:rsidR="007C675A" w:rsidRPr="001F358B" w:rsidRDefault="006B198D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31,3</w:t>
            </w:r>
          </w:p>
        </w:tc>
        <w:tc>
          <w:tcPr>
            <w:tcW w:w="842" w:type="dxa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161,0</w:t>
            </w:r>
          </w:p>
        </w:tc>
      </w:tr>
      <w:tr w:rsidR="007C675A" w:rsidRPr="001F358B" w:rsidTr="001819AA">
        <w:tc>
          <w:tcPr>
            <w:tcW w:w="2160" w:type="dxa"/>
          </w:tcPr>
          <w:p w:rsidR="007C675A" w:rsidRPr="001F358B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1F358B" w:rsidRDefault="006B198D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1,00</w:t>
            </w:r>
          </w:p>
        </w:tc>
        <w:tc>
          <w:tcPr>
            <w:tcW w:w="731" w:type="dxa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3,76</w:t>
            </w:r>
          </w:p>
        </w:tc>
        <w:tc>
          <w:tcPr>
            <w:tcW w:w="606" w:type="dxa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1,19</w:t>
            </w:r>
          </w:p>
        </w:tc>
        <w:tc>
          <w:tcPr>
            <w:tcW w:w="842" w:type="dxa"/>
          </w:tcPr>
          <w:p w:rsidR="007C675A" w:rsidRPr="001F358B" w:rsidRDefault="006B198D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3,47</w:t>
            </w:r>
          </w:p>
        </w:tc>
      </w:tr>
      <w:tr w:rsidR="007C675A" w:rsidRPr="001F358B" w:rsidTr="001819AA">
        <w:tc>
          <w:tcPr>
            <w:tcW w:w="2160" w:type="dxa"/>
          </w:tcPr>
          <w:p w:rsidR="007C675A" w:rsidRPr="001F358B" w:rsidRDefault="009466A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1F358B" w:rsidRDefault="006B198D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2,96</w:t>
            </w:r>
          </w:p>
        </w:tc>
        <w:tc>
          <w:tcPr>
            <w:tcW w:w="731" w:type="dxa"/>
          </w:tcPr>
          <w:p w:rsidR="007C675A" w:rsidRPr="001F358B" w:rsidRDefault="006B198D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2,26</w:t>
            </w:r>
          </w:p>
        </w:tc>
        <w:tc>
          <w:tcPr>
            <w:tcW w:w="606" w:type="dxa"/>
          </w:tcPr>
          <w:p w:rsidR="007C675A" w:rsidRPr="001F358B" w:rsidRDefault="006B198D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3,61</w:t>
            </w:r>
          </w:p>
        </w:tc>
        <w:tc>
          <w:tcPr>
            <w:tcW w:w="842" w:type="dxa"/>
          </w:tcPr>
          <w:p w:rsidR="007C675A" w:rsidRPr="001F358B" w:rsidRDefault="006B198D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F358B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2,15</w:t>
            </w:r>
          </w:p>
        </w:tc>
      </w:tr>
    </w:tbl>
    <w:p w:rsidR="00B61347" w:rsidRPr="001F358B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1F358B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9466A3" w:rsidRPr="001F358B">
        <w:rPr>
          <w:rFonts w:asciiTheme="minorHAnsi" w:hAnsiTheme="minorHAnsi" w:cstheme="minorHAnsi"/>
          <w:sz w:val="18"/>
          <w:szCs w:val="18"/>
          <w:lang w:val="uk-UA"/>
        </w:rPr>
        <w:t>Од/</w:t>
      </w:r>
      <w:r w:rsidR="00BF4346" w:rsidRPr="001F358B">
        <w:rPr>
          <w:rFonts w:asciiTheme="minorHAnsi" w:hAnsiTheme="minorHAnsi" w:cstheme="minorHAnsi"/>
          <w:sz w:val="18"/>
          <w:szCs w:val="18"/>
          <w:lang w:val="uk-UA"/>
        </w:rPr>
        <w:t>л</w:t>
      </w:r>
      <w:r w:rsidR="00F83D84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BF4346" w:rsidRPr="001F358B">
        <w:rPr>
          <w:rFonts w:asciiTheme="minorHAnsi" w:hAnsiTheme="minorHAnsi" w:cstheme="minorHAnsi"/>
          <w:sz w:val="18"/>
          <w:szCs w:val="18"/>
          <w:lang w:val="uk-UA"/>
        </w:rPr>
        <w:t>00</w:t>
      </w:r>
      <w:r w:rsidR="006B198D" w:rsidRPr="001F358B">
        <w:rPr>
          <w:rFonts w:asciiTheme="minorHAnsi" w:hAnsiTheme="minorHAnsi" w:cstheme="minorHAnsi"/>
          <w:sz w:val="18"/>
          <w:szCs w:val="18"/>
          <w:lang w:val="uk-UA"/>
        </w:rPr>
        <w:t>134</w:t>
      </w:r>
      <w:r w:rsidR="00C27AA8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6B198D" w:rsidRPr="001F358B">
        <w:rPr>
          <w:rFonts w:asciiTheme="minorHAnsi" w:hAnsiTheme="minorHAnsi" w:cstheme="minorHAnsi"/>
          <w:sz w:val="18"/>
          <w:szCs w:val="18"/>
          <w:lang w:val="uk-UA"/>
        </w:rPr>
        <w:t>(А)</w:t>
      </w:r>
      <w:r w:rsidR="00C27AA8" w:rsidRPr="001F358B">
        <w:rPr>
          <w:rFonts w:asciiTheme="minorHAnsi" w:hAnsiTheme="minorHAnsi" w:cstheme="minorHAnsi"/>
          <w:sz w:val="18"/>
          <w:szCs w:val="18"/>
          <w:lang w:val="uk-UA"/>
        </w:rPr>
        <w:t>.</w:t>
      </w:r>
      <w:r w:rsidR="007C4136" w:rsidRPr="001F358B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9466A3" w:rsidRPr="001F358B" w:rsidRDefault="009466A3" w:rsidP="009466A3">
      <w:pPr>
        <w:pStyle w:val="2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       Точність</w:t>
      </w:r>
      <w:r w:rsidR="007C675A" w:rsidRPr="001F358B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9466A3" w:rsidRPr="001F358B" w:rsidRDefault="006B198D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Результати </w:t>
      </w:r>
      <w:r w:rsidR="009466A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отримані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9466A3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були такими:</w:t>
      </w:r>
    </w:p>
    <w:p w:rsidR="004B172B" w:rsidRPr="001F358B" w:rsidRDefault="009466A3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4B172B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яції (r)</w:t>
      </w:r>
      <w:r w:rsidR="004B172B" w:rsidRPr="001F358B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BF4346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=0,999</w:t>
      </w:r>
    </w:p>
    <w:p w:rsidR="00EC2B33" w:rsidRPr="001F358B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6B198D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0,976</w:t>
      </w:r>
      <w:r w:rsidR="007C4136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BF4346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–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B198D"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0,269</w:t>
      </w:r>
    </w:p>
    <w:p w:rsidR="007C675A" w:rsidRPr="001F358B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1F358B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1F358B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6B198D" w:rsidRPr="001F358B" w:rsidRDefault="006B198D" w:rsidP="006B198D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Білірубін (змішані ізомери): Менше 10% інтерференції до 600 мкмоль/л білірубіну. Гемоліз: менше 10% перешкод до 1,25 г/л гемоглобіну.</w:t>
      </w:r>
    </w:p>
    <w:p w:rsidR="006B198D" w:rsidRPr="001F358B" w:rsidRDefault="006B198D" w:rsidP="006B198D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lastRenderedPageBreak/>
        <w:t>Ліпемія: Менше 10% інтерференції до 2,5 г/л інтраліпіду.</w:t>
      </w:r>
    </w:p>
    <w:p w:rsidR="00BF4346" w:rsidRPr="001F358B" w:rsidRDefault="00BF4346" w:rsidP="006B198D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Fonts w:asciiTheme="minorHAnsi" w:hAnsiTheme="minorHAnsi" w:cstheme="minorHAnsi"/>
          <w:sz w:val="18"/>
          <w:szCs w:val="18"/>
          <w:lang w:val="uk-UA"/>
        </w:rPr>
        <w:t>Опублікований список</w:t>
      </w:r>
      <w:r w:rsidR="00D4045F" w:rsidRPr="001F358B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3,4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 медикаментів та інших </w:t>
      </w:r>
      <w:r w:rsidR="00D4045F" w:rsidRPr="001F358B">
        <w:rPr>
          <w:rFonts w:asciiTheme="minorHAnsi" w:hAnsiTheme="minorHAnsi" w:cstheme="minorHAnsi"/>
          <w:sz w:val="18"/>
          <w:szCs w:val="18"/>
          <w:lang w:val="uk-UA"/>
        </w:rPr>
        <w:t>спотроюючих субст</w:t>
      </w:r>
      <w:r w:rsidRPr="001F358B">
        <w:rPr>
          <w:rFonts w:asciiTheme="minorHAnsi" w:hAnsiTheme="minorHAnsi" w:cstheme="minorHAnsi"/>
          <w:sz w:val="18"/>
          <w:szCs w:val="18"/>
          <w:lang w:val="uk-UA"/>
        </w:rPr>
        <w:t>анцій при виявленні СК.</w:t>
      </w:r>
    </w:p>
    <w:p w:rsidR="00BF4346" w:rsidRPr="001F358B" w:rsidRDefault="00BF4346" w:rsidP="00BF4346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82713A" w:rsidRPr="001F358B" w:rsidRDefault="0082713A" w:rsidP="0082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002060"/>
          <w:sz w:val="18"/>
          <w:szCs w:val="18"/>
          <w:lang w:val="uk-UA"/>
        </w:rPr>
      </w:pPr>
      <w:r w:rsidRPr="001F358B">
        <w:rPr>
          <w:rFonts w:cstheme="minorHAnsi"/>
          <w:b/>
          <w:color w:val="002060"/>
          <w:sz w:val="18"/>
          <w:szCs w:val="18"/>
          <w:lang w:val="uk-UA"/>
        </w:rPr>
        <w:t>ОБМЕЖЕННЯ ПРОЦЕДУРИ</w:t>
      </w:r>
    </w:p>
    <w:p w:rsidR="0082713A" w:rsidRPr="001F358B" w:rsidRDefault="0082713A" w:rsidP="00BF4346">
      <w:pPr>
        <w:spacing w:after="0" w:line="240" w:lineRule="auto"/>
        <w:rPr>
          <w:rFonts w:cstheme="minorHAnsi"/>
          <w:b/>
          <w:color w:val="002060"/>
          <w:sz w:val="18"/>
          <w:szCs w:val="18"/>
          <w:lang w:val="uk-UA"/>
        </w:rPr>
      </w:pPr>
    </w:p>
    <w:p w:rsidR="0082713A" w:rsidRPr="001F358B" w:rsidRDefault="0082713A" w:rsidP="0082713A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1F358B">
        <w:rPr>
          <w:rFonts w:cstheme="minorHAnsi"/>
          <w:sz w:val="18"/>
          <w:szCs w:val="18"/>
          <w:lang w:val="uk-UA"/>
        </w:rPr>
        <w:t>Цей метод також вимірює будь-який ізофермент CK-BB, присутній у сироватці. Активність ізоферменту зазвичай незначна; однак, якщо присутня значна кількість активності CK-BB, активність CK-MB буде переоцінена.</w:t>
      </w:r>
    </w:p>
    <w:p w:rsidR="0082713A" w:rsidRPr="001F358B" w:rsidRDefault="0082713A" w:rsidP="0082713A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1F358B">
        <w:rPr>
          <w:rFonts w:cstheme="minorHAnsi"/>
          <w:sz w:val="18"/>
          <w:szCs w:val="18"/>
          <w:lang w:val="uk-UA"/>
        </w:rPr>
        <w:t xml:space="preserve">Спостерігається макроформа ВВ (комплекс імуноглобуліну), яка в аналізі буде виміряна як В. Якщо виміряна активність CK-B перевищує 20% від загальної активності CK, слід запідозрити наявність </w:t>
      </w:r>
      <w:proofErr w:type="spellStart"/>
      <w:r w:rsidRPr="001F358B">
        <w:rPr>
          <w:rFonts w:cstheme="minorHAnsi"/>
          <w:sz w:val="18"/>
          <w:szCs w:val="18"/>
          <w:lang w:val="uk-UA"/>
        </w:rPr>
        <w:t>макро</w:t>
      </w:r>
      <w:proofErr w:type="spellEnd"/>
      <w:r w:rsidR="009605AD" w:rsidRPr="001F358B">
        <w:rPr>
          <w:rFonts w:cstheme="minorHAnsi"/>
          <w:sz w:val="18"/>
          <w:szCs w:val="18"/>
          <w:lang w:val="uk-UA"/>
        </w:rPr>
        <w:t xml:space="preserve"> </w:t>
      </w:r>
      <w:r w:rsidRPr="001F358B">
        <w:rPr>
          <w:rFonts w:cstheme="minorHAnsi"/>
          <w:sz w:val="18"/>
          <w:szCs w:val="18"/>
          <w:lang w:val="uk-UA"/>
        </w:rPr>
        <w:t>-</w:t>
      </w:r>
      <w:r w:rsidR="009605AD" w:rsidRPr="001F358B">
        <w:rPr>
          <w:rFonts w:cstheme="minorHAnsi"/>
          <w:sz w:val="18"/>
          <w:szCs w:val="18"/>
          <w:lang w:val="uk-UA"/>
        </w:rPr>
        <w:t xml:space="preserve"> </w:t>
      </w:r>
      <w:r w:rsidRPr="001F358B">
        <w:rPr>
          <w:rFonts w:cstheme="minorHAnsi"/>
          <w:sz w:val="18"/>
          <w:szCs w:val="18"/>
          <w:lang w:val="uk-UA"/>
        </w:rPr>
        <w:t>ВВ.</w:t>
      </w:r>
    </w:p>
    <w:p w:rsidR="0082713A" w:rsidRPr="001F358B" w:rsidRDefault="0082713A" w:rsidP="0082713A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1F358B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6416E1" w:rsidRPr="001F358B" w:rsidRDefault="006416E1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E41777" w:rsidRPr="001F358B" w:rsidRDefault="00E41777" w:rsidP="00325814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1F358B">
        <w:rPr>
          <w:rFonts w:cstheme="minorHAnsi"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1F358B">
        <w:rPr>
          <w:rFonts w:cstheme="minorHAnsi"/>
          <w:sz w:val="18"/>
          <w:szCs w:val="18"/>
          <w:lang w:val="uk-UA"/>
        </w:rPr>
        <w:t>. Інструкції для багатої з них можна отримати за замовленням.</w:t>
      </w:r>
    </w:p>
    <w:p w:rsidR="00E41777" w:rsidRPr="001F358B" w:rsidRDefault="00E41777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1F358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1F358B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E41777" w:rsidRPr="001F358B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Theme="minorHAnsi" w:hAnsiTheme="minorHAnsi" w:cstheme="minorHAnsi"/>
          <w:sz w:val="18"/>
          <w:szCs w:val="18"/>
          <w:lang w:val="uk-UA"/>
        </w:rPr>
      </w:pP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2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Abbot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B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Creatinine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Kaplan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The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Mosby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Louis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Toronto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Princeton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1984: 1112-116.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40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Gerhardt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W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B-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Subunit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after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immunohinhibition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M-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Subunit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1979;(25/7): 1274-1280.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drugs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Press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, 1995.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disease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2001.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40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Burtis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Textbook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Chemistry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1999.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1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Guide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to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Laboratory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1995.</w:t>
      </w:r>
    </w:p>
    <w:p w:rsidR="00BF4346" w:rsidRPr="001F358B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Mathieu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coll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Recommandation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pour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mesure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concentration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catalytique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creatinine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dans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humain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Ann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Biol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. Clin.,40, (1482), 87.</w:t>
      </w:r>
    </w:p>
    <w:p w:rsidR="00BF4346" w:rsidRPr="001F358B" w:rsidRDefault="0082713A" w:rsidP="00E41777">
      <w:pPr>
        <w:pStyle w:val="50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Neumeier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D.,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Prellwitz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W.,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Wurzburg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U.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coll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Determination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isoenzyme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MB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using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immunological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inhibition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subunit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acitivity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kinetics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and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diagnostic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significance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myocardial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infarcton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Chim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Acta</w:t>
      </w:r>
      <w:proofErr w:type="spellEnd"/>
      <w:r w:rsidRPr="001F358B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, 73, (1976), 445</w:t>
      </w:r>
      <w:r w:rsidRPr="001F358B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33624" w:rsidRPr="001F358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1F358B" w:rsidRDefault="00933624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C0263" w:rsidRPr="001F358B" w:rsidTr="002A0818">
        <w:trPr>
          <w:trHeight w:val="449"/>
        </w:trPr>
        <w:tc>
          <w:tcPr>
            <w:tcW w:w="4928" w:type="dxa"/>
          </w:tcPr>
          <w:p w:rsidR="000C0263" w:rsidRPr="001F358B" w:rsidRDefault="0082713A" w:rsidP="00933624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1F358B">
              <w:rPr>
                <w:rFonts w:cstheme="minorHAnsi"/>
                <w:sz w:val="18"/>
                <w:szCs w:val="18"/>
                <w:lang w:val="uk-UA"/>
              </w:rPr>
              <w:t>МО -165081</w:t>
            </w:r>
          </w:p>
        </w:tc>
      </w:tr>
      <w:tr w:rsidR="000C0263" w:rsidRPr="001F358B" w:rsidTr="002A0818">
        <w:tc>
          <w:tcPr>
            <w:tcW w:w="4928" w:type="dxa"/>
          </w:tcPr>
          <w:p w:rsidR="000C0263" w:rsidRPr="001F358B" w:rsidRDefault="000C0263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1F358B">
              <w:rPr>
                <w:rFonts w:cstheme="minorHAnsi"/>
                <w:sz w:val="18"/>
                <w:szCs w:val="18"/>
                <w:lang w:val="uk-UA"/>
              </w:rPr>
              <w:t>R</w:t>
            </w:r>
            <w:r w:rsidR="00AD6BD5" w:rsidRPr="001F358B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1F358B">
              <w:rPr>
                <w:rFonts w:cstheme="minorHAnsi"/>
                <w:sz w:val="18"/>
                <w:szCs w:val="18"/>
                <w:lang w:val="uk-UA"/>
              </w:rPr>
              <w:t xml:space="preserve">  </w:t>
            </w:r>
            <w:r w:rsidR="00AD6BD5" w:rsidRPr="001F358B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1F358B">
              <w:rPr>
                <w:rFonts w:cstheme="minorHAnsi"/>
                <w:sz w:val="18"/>
                <w:szCs w:val="18"/>
                <w:lang w:val="uk-UA"/>
              </w:rPr>
              <w:t>x</w:t>
            </w:r>
            <w:r w:rsidR="00BF4346" w:rsidRPr="001F358B">
              <w:rPr>
                <w:rFonts w:cstheme="minorHAnsi"/>
                <w:sz w:val="18"/>
                <w:szCs w:val="18"/>
                <w:lang w:val="uk-UA"/>
              </w:rPr>
              <w:t>60</w:t>
            </w:r>
            <w:r w:rsidRPr="001F358B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</w:tc>
      </w:tr>
      <w:tr w:rsidR="00AD6BD5" w:rsidRPr="001F358B" w:rsidTr="002A0818">
        <w:tc>
          <w:tcPr>
            <w:tcW w:w="4928" w:type="dxa"/>
          </w:tcPr>
          <w:p w:rsidR="00AD6BD5" w:rsidRPr="001F358B" w:rsidRDefault="00AD6BD5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1F358B">
              <w:rPr>
                <w:rFonts w:cstheme="minorHAnsi"/>
                <w:sz w:val="18"/>
                <w:szCs w:val="18"/>
                <w:lang w:val="uk-UA"/>
              </w:rPr>
              <w:t>R2  1x</w:t>
            </w:r>
            <w:r w:rsidR="00BF4346" w:rsidRPr="001F358B">
              <w:rPr>
                <w:rFonts w:cstheme="minorHAnsi"/>
                <w:sz w:val="18"/>
                <w:szCs w:val="18"/>
                <w:lang w:val="uk-UA"/>
              </w:rPr>
              <w:t>15</w:t>
            </w:r>
            <w:r w:rsidRPr="001F358B">
              <w:rPr>
                <w:rFonts w:cstheme="minorHAnsi"/>
                <w:sz w:val="18"/>
                <w:szCs w:val="18"/>
                <w:lang w:val="uk-UA"/>
              </w:rPr>
              <w:t>мл</w:t>
            </w:r>
          </w:p>
        </w:tc>
      </w:tr>
    </w:tbl>
    <w:p w:rsidR="00933624" w:rsidRPr="001F358B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1F358B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F358B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1F358B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1F358B" w:rsidRDefault="00E8547C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1F358B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 wp14:anchorId="0D0C21C9" wp14:editId="2578E1C8">
            <wp:extent cx="3312795" cy="952341"/>
            <wp:effectExtent l="0" t="0" r="190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126" cy="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136" w:rsidRPr="001F358B" w:rsidRDefault="002A0818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6E746B"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8F32DD"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>: MO-165</w:t>
      </w:r>
      <w:r w:rsidR="00E94547"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>0</w:t>
      </w:r>
      <w:r w:rsidR="0082713A"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>81</w:t>
      </w:r>
    </w:p>
    <w:p w:rsidR="004B144C" w:rsidRPr="001F358B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1F358B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1F358B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1F358B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82713A" w:rsidRPr="001F358B">
        <w:rPr>
          <w:rFonts w:asciiTheme="minorHAnsi" w:hAnsiTheme="minorHAnsi" w:cstheme="minorHAnsi"/>
          <w:sz w:val="18"/>
          <w:szCs w:val="18"/>
          <w:lang w:val="uk-UA"/>
        </w:rPr>
        <w:t>грудень 2015</w:t>
      </w:r>
    </w:p>
    <w:p w:rsidR="004B144C" w:rsidRPr="001F358B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1F358B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1F358B">
        <w:rPr>
          <w:rFonts w:cstheme="minorHAnsi"/>
          <w:sz w:val="18"/>
          <w:szCs w:val="18"/>
          <w:lang w:val="uk-UA"/>
        </w:rPr>
        <w:t>Monlab</w:t>
      </w:r>
      <w:proofErr w:type="spellEnd"/>
      <w:r w:rsidRPr="001F358B">
        <w:rPr>
          <w:rFonts w:cstheme="minorHAnsi"/>
          <w:sz w:val="18"/>
          <w:szCs w:val="18"/>
          <w:lang w:val="uk-UA"/>
        </w:rPr>
        <w:t xml:space="preserve"> SL </w:t>
      </w:r>
      <w:r w:rsidR="006E746B" w:rsidRPr="001F358B">
        <w:rPr>
          <w:rFonts w:cstheme="minorHAnsi"/>
          <w:sz w:val="18"/>
          <w:szCs w:val="18"/>
          <w:lang w:val="uk-UA"/>
        </w:rPr>
        <w:t>Сельва де Мар</w:t>
      </w:r>
      <w:r w:rsidRPr="001F358B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1F358B">
        <w:rPr>
          <w:rFonts w:cstheme="minorHAnsi"/>
          <w:sz w:val="18"/>
          <w:szCs w:val="18"/>
          <w:lang w:val="uk-UA"/>
        </w:rPr>
        <w:t>Барселона</w:t>
      </w:r>
      <w:r w:rsidRPr="001F358B">
        <w:rPr>
          <w:rFonts w:cstheme="minorHAnsi"/>
          <w:sz w:val="18"/>
          <w:szCs w:val="18"/>
          <w:lang w:val="uk-UA"/>
        </w:rPr>
        <w:t xml:space="preserve"> (</w:t>
      </w:r>
      <w:r w:rsidR="006E746B" w:rsidRPr="001F358B">
        <w:rPr>
          <w:rFonts w:cstheme="minorHAnsi"/>
          <w:sz w:val="18"/>
          <w:szCs w:val="18"/>
          <w:lang w:val="uk-UA"/>
        </w:rPr>
        <w:t>Іспанія) тел</w:t>
      </w:r>
      <w:r w:rsidRPr="001F358B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1F358B">
        <w:rPr>
          <w:rFonts w:cstheme="minorHAnsi"/>
          <w:sz w:val="18"/>
          <w:szCs w:val="18"/>
          <w:lang w:val="uk-UA"/>
        </w:rPr>
        <w:t>факс</w:t>
      </w:r>
      <w:r w:rsidRPr="001F358B">
        <w:rPr>
          <w:rFonts w:cstheme="minorHAnsi"/>
          <w:sz w:val="18"/>
          <w:szCs w:val="18"/>
          <w:lang w:val="uk-UA"/>
        </w:rPr>
        <w:t xml:space="preserve"> +34 93 436 38 94 </w:t>
      </w:r>
      <w:r w:rsidRPr="001F358B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1F358B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1F358B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1F358B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82713A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82713A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82713A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EE6360"/>
    <w:multiLevelType w:val="multilevel"/>
    <w:tmpl w:val="5942C1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2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1"/>
  </w:num>
  <w:num w:numId="5">
    <w:abstractNumId w:val="1"/>
  </w:num>
  <w:num w:numId="6">
    <w:abstractNumId w:val="9"/>
  </w:num>
  <w:num w:numId="7">
    <w:abstractNumId w:val="20"/>
  </w:num>
  <w:num w:numId="8">
    <w:abstractNumId w:val="7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19"/>
  </w:num>
  <w:num w:numId="14">
    <w:abstractNumId w:val="11"/>
  </w:num>
  <w:num w:numId="15">
    <w:abstractNumId w:val="18"/>
  </w:num>
  <w:num w:numId="16">
    <w:abstractNumId w:val="10"/>
  </w:num>
  <w:num w:numId="17">
    <w:abstractNumId w:val="6"/>
  </w:num>
  <w:num w:numId="18">
    <w:abstractNumId w:val="13"/>
  </w:num>
  <w:num w:numId="19">
    <w:abstractNumId w:val="0"/>
  </w:num>
  <w:num w:numId="20">
    <w:abstractNumId w:val="24"/>
  </w:num>
  <w:num w:numId="21">
    <w:abstractNumId w:val="8"/>
  </w:num>
  <w:num w:numId="22">
    <w:abstractNumId w:val="2"/>
  </w:num>
  <w:num w:numId="23">
    <w:abstractNumId w:val="15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11AF"/>
    <w:rsid w:val="00013691"/>
    <w:rsid w:val="0007676A"/>
    <w:rsid w:val="000C0263"/>
    <w:rsid w:val="000F7011"/>
    <w:rsid w:val="001819AA"/>
    <w:rsid w:val="00185EFF"/>
    <w:rsid w:val="001F358B"/>
    <w:rsid w:val="00241A3C"/>
    <w:rsid w:val="00281DB7"/>
    <w:rsid w:val="002A0818"/>
    <w:rsid w:val="002F7E64"/>
    <w:rsid w:val="00301D96"/>
    <w:rsid w:val="00325814"/>
    <w:rsid w:val="00372693"/>
    <w:rsid w:val="00396DC4"/>
    <w:rsid w:val="004B144C"/>
    <w:rsid w:val="004B172B"/>
    <w:rsid w:val="004F5704"/>
    <w:rsid w:val="0052678B"/>
    <w:rsid w:val="005E64A1"/>
    <w:rsid w:val="006075E4"/>
    <w:rsid w:val="006416E1"/>
    <w:rsid w:val="00642C57"/>
    <w:rsid w:val="006537C2"/>
    <w:rsid w:val="0067124C"/>
    <w:rsid w:val="0069480A"/>
    <w:rsid w:val="006B198D"/>
    <w:rsid w:val="006B7640"/>
    <w:rsid w:val="006E746B"/>
    <w:rsid w:val="006F7925"/>
    <w:rsid w:val="0071458E"/>
    <w:rsid w:val="00777880"/>
    <w:rsid w:val="007C4136"/>
    <w:rsid w:val="007C675A"/>
    <w:rsid w:val="0082713A"/>
    <w:rsid w:val="00840E69"/>
    <w:rsid w:val="00897DA5"/>
    <w:rsid w:val="008D0449"/>
    <w:rsid w:val="008F32DD"/>
    <w:rsid w:val="00907183"/>
    <w:rsid w:val="00933624"/>
    <w:rsid w:val="009466A3"/>
    <w:rsid w:val="009605AD"/>
    <w:rsid w:val="00A43DFA"/>
    <w:rsid w:val="00AD6BD5"/>
    <w:rsid w:val="00B61347"/>
    <w:rsid w:val="00B70A34"/>
    <w:rsid w:val="00BF4346"/>
    <w:rsid w:val="00C27AA8"/>
    <w:rsid w:val="00D104E5"/>
    <w:rsid w:val="00D10693"/>
    <w:rsid w:val="00D4045F"/>
    <w:rsid w:val="00D96D4B"/>
    <w:rsid w:val="00DB4658"/>
    <w:rsid w:val="00DB72EB"/>
    <w:rsid w:val="00E275D1"/>
    <w:rsid w:val="00E41777"/>
    <w:rsid w:val="00E60C96"/>
    <w:rsid w:val="00E8547C"/>
    <w:rsid w:val="00E94547"/>
    <w:rsid w:val="00EB4107"/>
    <w:rsid w:val="00EC2B33"/>
    <w:rsid w:val="00EF3689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DDDC"/>
  <w15:docId w15:val="{B7368AA6-3965-433F-B3E3-5521DBEF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5592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25</cp:revision>
  <dcterms:created xsi:type="dcterms:W3CDTF">2022-01-21T10:40:00Z</dcterms:created>
  <dcterms:modified xsi:type="dcterms:W3CDTF">2022-10-07T08:17:00Z</dcterms:modified>
</cp:coreProperties>
</file>